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><w:sz w:val="30"/><w:szCs w:val="30"/></w:rPr><w:t xml:space="preserve">Tisková zpráva</w:t></w:r></w:p><w:p><w:pPr/><w:r><w:rPr/><w:t xml:space="preserve">18. 2. 2022</w:t></w:r></w:p><w:p><w:pPr/><w:r><w:rPr><w:sz w:val="30"/><w:szCs w:val="30"/></w:rPr><w:t xml:space="preserve">Renault Group: finanční výsledky 2021 výrazně překročily plány</w:t></w:r></w:p><w:p><w:pPr><w:pStyle w:val="Heading2"/></w:pPr><w:r><w:rPr/><w:t xml:space="preserve">Renault Group překračuje své cíle pro rok 2021 a urychluje svou strategii Renaulution.</w:t></w:r></w:p><w:p><w:pPr/><w:r><w:rPr><w:b w:val="1"/><w:bCs w:val="1"/></w:rPr><w:t xml:space="preserve">Finanční výhledy na rok 2021 výrazně překročeny:</w:t></w:r></w:p><w:p><w:pPr><w:numPr><w:ilvl w:val="0"/><w:numId w:val="2"/></w:numPr></w:pPr><w:r><w:rPr/><w:t xml:space="preserve">Provozní marže 2021: 3,6 % (oproti výhledu provozní marže, která měla za první pololetí roku 2021 hodnotu 2,8 %), čímž byl dosažen s dvouletým náskokem cíl Renaulution, podle kterého měla být provozní marže v roce 2023 vyšší než 3 %.</w:t></w:r></w:p><w:p><w:pPr><w:numPr><w:ilvl w:val="0"/><w:numId w:val="2"/></w:numPr></w:pPr><w:r><w:rPr/><w:t xml:space="preserve">Provozní Free cash-flow (FCF) automobilky(1) před změnou potřeb provozního kapitálu: 1,6 miliard € (oproti výhledu pozitivního provozního FCF automobilky</w:t></w:r></w:p><w:p><w:pPr/><w:r><w:rPr><w:b w:val="1"/><w:bCs w:val="1"/></w:rPr><w:t xml:space="preserve">Cíle Renaulution dosaženy dříve, urychlení strategie Skupiny:</w:t></w:r></w:p><w:p><w:pPr><w:numPr><w:ilvl w:val="0"/><w:numId w:val="3"/></w:numPr></w:pPr><w:r><w:rPr/><w:t xml:space="preserve">Plán úspory fixních nákladů ve výši 2 miliard € oproti roku 2019 byl splněn s ročním náskokem</w:t></w:r></w:p><w:p><w:pPr><w:numPr><w:ilvl w:val="0"/><w:numId w:val="3"/></w:numPr></w:pPr><w:r><w:rPr/><w:t xml:space="preserve">Pokles mrtvého bodu(2) o 40 % oproti roku 2019 byl splněn 2 roky dopředu (původní cíl poklesu o více než 30 % na konci roku 2023)</w:t></w:r></w:p><w:p><w:pPr><w:numPr><w:ilvl w:val="0"/><w:numId w:val="3"/></w:numPr></w:pPr><w:r><w:rPr/><w:t xml:space="preserve">Efektivnost obchodní politiky Renaulution, která upřednostňuje hodnoty před objemy (cenový efekt na + 5,7 bodech za rok) a která bude pokračovat v roce 2022</w:t></w:r></w:p><w:p><w:pPr><w:numPr><w:ilvl w:val="0"/><w:numId w:val="3"/></w:numPr></w:pPr><w:r><w:rPr/><w:t xml:space="preserve">Portfolio objednávek Skupiny v Evropě na více než 3 měsíce prodejů, podpořeno atraktivitou nabídky modelů Renault E-TECH, Arkana, užitkových vozidel a modelů Dacia Sandero a Dacia Spring.)</w:t></w:r></w:p><w:p><w:pPr><w:numPr><w:ilvl w:val="0"/><w:numId w:val="3"/></w:numPr></w:pPr><w:r><w:rPr/><w:t xml:space="preserve">V roce 2022 pokračování zlepšování produktového mixu a obohacení nabídky vozidel zejména s ohledem na uvedení modelů Renault Megane E-Tech elektrický a Austral a modelů Dacia Jogger na trh</w:t></w:r></w:p><w:p><w:pPr/><w:r><w:rPr><w:b w:val="1"/><w:bCs w:val="1"/></w:rPr><w:t xml:space="preserve">Výsledky 2021:</w:t></w:r></w:p><w:p><w:pPr><w:numPr><w:ilvl w:val="0"/><w:numId w:val="4"/></w:numPr></w:pPr><w:r><w:rPr/><w:t xml:space="preserve">Obrat Skupiny 46,2 mld. €: + 6,3 % oproti roku 2020</w:t></w:r></w:p><w:p><w:pPr><w:numPr><w:ilvl w:val="0"/><w:numId w:val="4"/></w:numPr></w:pPr><w:r><w:rPr/><w:t xml:space="preserve">Provozní marže Skupiny 1,7 mld. € (3,6 % obratu): zlepšení o 2 mld. € oproti roku 2020. Ve druhém pololetí roku 2021 dosahuje 4,4 %</w:t></w:r></w:p><w:p><w:pPr><w:numPr><w:ilvl w:val="0"/><w:numId w:val="4"/></w:numPr></w:pPr><w:r><w:rPr/><w:t xml:space="preserve">Provozní marže automobilky1 507 milionů € (1,2 % z obratu segmentu): zlepšení o 1,8 mld. € oproti roku 2020 (+4,4 bodů)</w:t></w:r></w:p><w:p><w:pPr><w:numPr><w:ilvl w:val="0"/><w:numId w:val="4"/></w:numPr></w:pPr><w:r><w:rPr/><w:t xml:space="preserve">Čistý výsledek 967 milionů €</w:t></w:r></w:p><w:p><w:pPr><w:numPr><w:ilvl w:val="0"/><w:numId w:val="4"/></w:numPr></w:pPr><w:r><w:rPr/><w:t xml:space="preserve">Provozní Free cash-flow automobilky(1) po změně potřeb provozního kapitálu: 1,3 mld. €, což přispělo ke snížení čistého dluhu automobilky o 2 mld. €</w:t></w:r></w:p><w:p><w:pPr><w:numPr><w:ilvl w:val="0"/><w:numId w:val="4"/></w:numPr></w:pPr><w:r><w:rPr/><w:t xml:space="preserve">Skupina Renault v roce 2021 potvrzuje, že dosáhla cílů CAFE(3) (osobní vozidla a užitková vozidla) v Evropě zejména díky objemům prodeje vozidel E-TECH(4), které představují přibližně jednu třetinu registrace osobních vozidel značky Renault v Evropě (oproti 17 % v roce 2020)</w:t></w:r></w:p><w:p><w:pPr/><w:r><w:rPr><w:b w:val="1"/><w:bCs w:val="1"/></w:rPr><w:t xml:space="preserve">Vyhlídky na rok 2022:</w:t></w:r><w:br/><w:r><w:rPr/><w:t xml:space="preserve">V době, kdy situaci na trhu stále ovlivňuje nedostatek polovodičů, zejména v 1. pololetí (celková odhadovaná ztráta čin 300 000 vozidel z výroby v roce 2022), a zvýšení cen surovin, Skupina předpovídá pro tento rok:</w:t></w:r></w:p><w:p><w:pPr><w:numPr><w:ilvl w:val="0"/><w:numId w:val="5"/></w:numPr></w:pPr><w:r><w:rPr/><w:t xml:space="preserve">Provozní marži Skupiny vyšší nebo rovnu 4%</w:t></w:r></w:p><w:p><w:pPr><w:numPr><w:ilvl w:val="0"/><w:numId w:val="5"/></w:numPr></w:pPr><w:r><w:rPr/><w:t xml:space="preserve">Provozní free cash-flow automobilky vyšší nebo rovno 1 miliardě €</w:t></w:r></w:p><w:p><w:pPr/><w:r><w:rPr><w:b w:val="1"/><w:bCs w:val="1"/></w:rPr><w:t xml:space="preserve">Protože Skupina Renault je napřed v plnění střednědobých cílů Renaulution, uspořádá na podzim roku 2022 Capital Market Day.</w:t></w:r></w:p><w:p><w:pPr/><w:r><w:rPr><w:i w:val="1"/><w:iCs w:val="1"/></w:rPr><w:t xml:space="preserve">„Skupina Renault výrazně překročila své finanční cíle pro rok 2021 navzdory vlivu nedostatku polovodičů a zvýšení cen surovin. To odráží tempo, kterým pokračuje hluboká transformace Skupiny, započatá v rámci Renaulution. Díky trvalé angažovanosti zaměstnanců a využití Aliance urychlujeme aplikaci našich strategických ambicí v praxi, aby se Skupina stala konkurenceschopným, hi-tech, odpovědným a uznávaným subjektem.“ </w:t></w:r><w:r><w:rPr/><w:t xml:space="preserve">prohlásil Luca de Meo, generální ředitel a předseda představenstva Skupiny Renault</w:t></w:r></w:p><w:p><w:pPr/><w:r><w:rPr><w:i w:val="1"/><w:iCs w:val="1"/></w:rPr><w:t xml:space="preserve">„S výsledky za rok 2021 Skupina Renault překoná v rozhodující etapu svého oživení. Tato efektivnost souvisí s prvními úspěchy strategie Skupiny upřednostňující hodnoty před objemy a s přísnou finanční disciplínou. To nám umožnilo dosáhnout trvale a jeden či dva roky dopředu některých cílů Renaulution. Skupina ještě urychluje realizaci svých strategických projektů, jejichž jediným cílem je vytváření hodnot pro všechny zainteresované strany.“</w:t></w:r><w:r><w:rPr/><w:t xml:space="preserve"> prohlásila Clotilde Delbos, finanční ředitelka Skupiny Renault</w:t></w:r></w:p><w:p><w:pPr/><w:r><w:rPr/><w:t xml:space="preserve">Boulogne-Billancourt, dne 18. února 2022 – </w:t></w:r><w:r><w:rPr><w:b w:val="1"/><w:bCs w:val="1"/></w:rPr><w:t xml:space="preserve">Obrat Skupiny</w:t></w:r><w:r><w:rPr/><w:t xml:space="preserve"> dosahuje 46 213 milionů €, což je o 6,3 % více než v roce 2020. Při konstantním směnném kurzu(5) a počtu subjektů se jedná o navýšení o 8,0 % (negativní vliv směnného kurzu souvisí zejména se snížením hodnoty ruského rublu, turecké liry, argentinského pesa a brazilského realu).</w:t></w:r></w:p><w:p><w:pPr/><w:r><w:rPr><w:b w:val="1"/><w:bCs w:val="1"/></w:rPr><w:t xml:space="preserve">Obrat automobilky mimo AVTOVAZ</w:t></w:r><w:r><w:rPr/><w:t xml:space="preserve"> je 40 404 milionů €, což je navýšení o 7,1 % oproti roku 2020. Oživení trhu s automobily se podílí na tomto navýšení 4,4 body. Nová obchodní politika, zahájená ve 3. čtvrtletí 2020 a podporující rentabilnější segmenty, měla pozitivní cenový vliv v řádu 5,7 bodů. Úspěch Arkany, uvedené na trh ve druhém čtvrtletí roku 2021 a znamenající návrat značky Renault do segmentu C, a výsledky užitkových vozidel vedly k pozitivnímu vlivu týkajícímu se produktového mixu v řádu 2,2 bodů. Tyto dva vlivy umožňují kompenzovat ztrátu objemů v řádu 7,5 bodů související zejména s realizací této politiky upřednostňující hodnoty před objemy.</w:t></w:r><w:br/><w:r><w:rPr/><w:t xml:space="preserve">„Ostatní“ vlivy v řádu +5,3 bodů se týkají poklesu prodejů se závazkem převzetí v souvislosti s politikou volby nejrentabilnějších kanálů a prodeje některých dceřiných společností Skupiny Renault Retail v roce 2021. Pozitivní vliv mělo tak zvýšení podílu prodejů náhradních dílů a příslušenství a obnova činnosti sítě prodejců, které byly silně poznamenané epidemiologickými opatřeními v roce 2020.</w:t></w:r></w:p><w:p><w:pPr/><w:r><w:rPr><w:b w:val="1"/><w:bCs w:val="1"/></w:rPr><w:t xml:space="preserve">Obrat AVTOVAZU</w:t></w:r><w:r><w:rPr/><w:t xml:space="preserve"> se zvýšil o 10,4 % na 2 850 milionů € zejména díky výraznému zvýšení cen a vlivu produktového mixu v řádu 18,4 bodů, což více než vyrovnalo negativní vliv kurzu (-6,8 bodů). Značka LADA si udržuje vedoucí postavení na ruském trhu s podílem na trhu na úrovni přibližně 21 %. LADA Vesta a LADA Granta jsou 1., respektive 2., nejvíce prodávaným vozidlem v Rusku. Skupina vykazuje pozitivní provozní marži ve výši 1 663 milionů € (3,6 % obratu) oproti -337 milionům € v roce 2020. Provozní marže Skupiny dosahuje 4,4 % obratu ve druhém pololetí roku 2021.</w:t></w:r></w:p><w:p><w:pPr/><w:r><w:rPr><w:b w:val="1"/><w:bCs w:val="1"/></w:rPr><w:t xml:space="preserve">Provozní marže automobilky mimo AVTOVAZ</w:t></w:r><w:r><w:rPr/><w:t xml:space="preserve"> se zlepšuje o 1 710 milionů € na 260 milionů € (0,6 % obratu).</w:t></w:r><w:br/><w:r><w:rPr/><w:t xml:space="preserve">Oživení trhu s automobily má pozitivní vliv v řádu 293 milionů €.</w:t></w:r><w:br/><w:r><w:rPr/><w:t xml:space="preserve">Vliv mix/cena/zisk v řádu 1 127 milionů € je výsledkem obchodní politiky upřednostňující hodnoty před objemy a zvyšování cen z důvodu pokrytí kurzových ztrát a inflace nákladů. Tato politika více než vyrovnala negativní vliv týkající se objemů v řádu 579 milionů €.</w:t></w:r><w:br/><w:r><w:rPr/><w:t xml:space="preserve">Vliv „produktivity“ (nákupy, záruky, výzkum a vývoj, výrobní náklady a logistika, režijní náklady) je pozitivní v řádu 852 milionů € hlavně z důvodu efektivnosti nákupů (541 milionů €) a optimalizace výdajů na výzkum a vývoj.</w:t></w:r><w:br/><w:r><w:rPr/><w:t xml:space="preserve">Tyto provozní výsledky umožňují bohatě kompenzovat zvýšení cen surovin v řádu -468 milionů €.</w:t></w:r><w:br/><w:r><w:rPr/><w:t xml:space="preserve">„Ostatní“ vlivy jsou v řádu +483 milionů €, což lze vysvětlit zejména lepšími výsledky v oblasti náhradních dílů a příslušenství a sítě prodejců a tak příznivým dopadem prodejů se závazkem převzetí.</w:t></w:r></w:p><w:p><w:pPr/><w:r><w:rPr/><w:t xml:space="preserve">P</w:t></w:r><w:r><w:rPr><w:b w:val="1"/><w:bCs w:val="1"/></w:rPr><w:t xml:space="preserve">rovozní marže AVTOVAZU</w:t></w:r><w:r><w:rPr/><w:t xml:space="preserve"> je 247 milionů €, což je nárůst o 106 milionů €, způsobený zejména zvýšením cen, které více než kompenzovalo negativní vliv směnného kurzu a růst cen surovin.</w:t></w:r></w:p><w:p><w:pPr/><w:r><w:rPr><w:b w:val="1"/><w:bCs w:val="1"/></w:rPr><w:t xml:space="preserve">Pod l financování prodejů</w:t></w:r><w:r><w:rPr/><w:t xml:space="preserve"> na provozní marži Skupiny dosahuje 1 185 milionů €, což představuje zvýšení o 178 milionů € oproti roku 2020. Toto zlepšení je způsobeno hlavně výrazným snížením nákladů na rizika, které dosahují 0,14 % průměrných produktivních aktiv oproti 0,75 % v roce 2020. Toto velmi dobré číslo je způsobeno zlepšením parametrů rizik a návratem k normálu u vymáhacích procesů, poznamenaných epidemiologickými opatřeními v roce 2020.</w:t></w:r></w:p><w:p><w:pPr/><w:r><w:rPr/><w:t xml:space="preserve">RCI Bank and Services vykazuje u nového financování navýšení o 0,4 % (mimo kurzových vlivů, které jsou negativní v řádu 92 milionů €) oproti roku 2020, k čemuž přispívají velmi dobré výsledky u financování ojetých vozidel a n nárůst průměrných financovaných částek v řádu 7,2 % u nových a ojetých vozidel.</w:t></w:r></w:p><w:p><w:pPr/><w:r><w:rPr><w:b w:val="1"/><w:bCs w:val="1"/></w:rPr><w:t xml:space="preserve">Ostatní provozní výnosy a náklady</w:t></w:r><w:r><w:rPr/><w:t xml:space="preserve"> jsou negativní v řádu -265 milionů € (oproti -1 662 milionům € v roce 2020). Rezervy na výdaje týkající se restrukturalizace ve výši 430 milionů € jsou kompenzovány prodejem aktiv (487 milionů €) týkajících se hlavně prodeje některých dceřiných společností Skupiny Renault Retail (RRG) v souvislosti s uvedenou strategií.</w:t></w:r></w:p><w:p><w:pPr/><w:r><w:rPr/><w:t xml:space="preserve">Po začlenění ostatních provozních výnosů a nákladů je </w:t></w:r><w:r><w:rPr><w:b w:val="1"/><w:bCs w:val="1"/></w:rPr><w:t xml:space="preserve">provozní výsledek </w:t></w:r><w:r><w:rPr/><w:t xml:space="preserve">Skupiny 1 398 milionů € oproti -1 999 milionům € v roce 2020.</w:t></w:r></w:p><w:p><w:pPr/><w:r><w:rPr><w:b w:val="1"/><w:bCs w:val="1"/></w:rPr><w:t xml:space="preserve">Finanční výsledek</w:t></w:r><w:r><w:rPr/><w:t xml:space="preserve"> je -350 milionů €, což představuje zlepšení o 132 milionů € oproti roku 2020, což souvisí zejména s účetní úpravou hodnoty půjčky garantované francouzským státem.</w:t></w:r></w:p><w:p><w:pPr/><w:r><w:rPr><w:b w:val="1"/><w:bCs w:val="1"/></w:rPr><w:t xml:space="preserve">Podíl přidružených podniků </w:t></w:r><w:r><w:rPr/><w:t xml:space="preserve">je 515 milionů €, z toho 380 milionů € souvisejících s podílem Nissanu, což představuje navýšení o 5 660 milionů € oproti roku 2020. Pro připomenutí podíl Nissanu v roce 2020 zahrnoval -4 290 M€ znehodnocení aktiv a nákladů na restrukturalizaci (z toho -1 934 milionů € nového posouzení IFRS).</w:t></w:r></w:p><w:p><w:pPr/><w:r><w:rPr><w:b w:val="1"/><w:bCs w:val="1"/></w:rPr><w:t xml:space="preserve">Běžné daně a odložení daňové závazky </w:t></w:r><w:r><w:rPr/><w:t xml:space="preserve">v řádu 596 milionů € oproti 420 milionům € v roce 2020 v souvislosti se zlepšením výsledku hospodaření.</w:t></w:r></w:p><w:p><w:pPr/><w:r><w:rPr><w:b w:val="1"/><w:bCs w:val="1"/></w:rPr><w:t xml:space="preserve">Čistý výsledek</w:t></w:r><w:r><w:rPr/><w:t xml:space="preserve"> je 967 milionů € a čistý výsledek, podíly Skupiny, je 888 milionů € (+3,26 € na akcii oproti -29,51 € na akcii v roce 2020).</w:t></w:r></w:p><w:p><w:pPr/><w:r><w:rPr><w:b w:val="1"/><w:bCs w:val="1"/></w:rPr><w:t xml:space="preserve">Schopnost samofinancování automobilky</w:t></w:r><w:r><w:rPr/><w:t xml:space="preserve">(6) mimo výdaje na restrukturalizaci, včetně 1 miliardy € na dividendy RCI, dosahuje 4,8 miliard €, což je nárůst o 2,8 miliardy € oproti roku 2020. Tato schopnost samofinancování pokrývá široce hmotné a nehmotné investice před prodejem aktiv v ř áu 3,2 miliard € (5,1 miliard € v roce 2020). Bez vlivu prodejů činí čistý podíl kapitálových výdajů a výzkumu a vývoje Skupiny 8,5 % obratu. Včetně prodejů je 7,3 % oproti 11,3 % v roce 2020.</w:t></w:r></w:p><w:p><w:pPr/><w:r><w:rPr><w:b w:val="1"/><w:bCs w:val="1"/></w:rPr><w:t xml:space="preserve">Provozní free cash-flow automobilky</w:t></w:r><w:r><w:rPr/><w:t xml:space="preserve">(6) je pozitivní v řádu 1 272 milionů €, po začlenění plateb týkajících se výdajů na restrukturalizaci v řádu 602 milionů €, prodeje aktiv ve výši 574 milionů € a negativního vlivu změny potřeby provozního kapitálu v řádu -330 M€. Provozní free cash-flow automobilky a také prodej akcií, jež vlastní Daimler, za 1,1 miliardy € přispívaíj ke snížení </w:t></w:r><w:r><w:rPr><w:b w:val="1"/><w:bCs w:val="1"/></w:rPr><w:t xml:space="preserve">čistého dluhu automobilky</w:t></w:r><w:r><w:rPr/><w:t xml:space="preserve"> o 2 miliardy € a tento dluh je tedy k 31. prosinci 2021 1,6 miliard €. Ke dni 31. prosince 2021 bylo </w:t></w:r><w:r><w:rPr><w:b w:val="1"/><w:bCs w:val="1"/></w:rPr><w:t xml:space="preserve">celkem na skladě</w:t></w:r><w:r><w:rPr/><w:t xml:space="preserve"> 336 000 nových vozidel (včetně nezávislé sítě prodejců) oproti 486 000 na konci roku 2020, což představuje 53 prodejních dnů.</w:t></w:r></w:p><w:p><w:pPr/><w:r><w:rPr/><w:t xml:space="preserve">Představenstvo navrhne valné hromadě akcionářů, která by se měla konat dne 25. května 2022, aby za rok 2021 nebyly vyplaceny dividendy. V roce 2022, splatí Skupina Renault dopředu 1 miliardu € půjčky od skupiny bank s garancí francouzského státu a také 1 miliardu € z důvodu smluvní splatnosti. Celá půjčka bude splacena nejpozději na konci roku 2023.</w:t></w:r></w:p><w:p><w:pPr/><w:r><w:rPr><w:b w:val="1"/><w:bCs w:val="1"/></w:rPr><w:t xml:space="preserve">Dekarbonizace a korektní přechod v centru naší strategie ESG</w:t></w:r></w:p><w:p><w:pPr/><w:r><w:rPr/><w:t xml:space="preserve">V roce 2021 Skupina Renault sdělila důvod své existence: „Naše srdce bije pro inovace, aby nás mobilita přibližovala jedny k druhým“ a zveřejnila svou strategii ESG mající tři pilíře: uhlíkovou neutralitu, bezpečnost a inkluzi. Ambicí Skupiny Renault je dosáhnout uhlíkové neutrality v Evropě v roce 2040 a ve světě v roce 2050 snížením uhlíkových emisí v celém cyklu života vozidla: nakupované suroviny a díly, výrobní závody, emise vozidel na cestách, druhý život, ale také recyklace. Tato strategie Klima byla představena ve zprávě Klima zveřejněné v dubnu 2021.</w:t></w:r><w:br/><w:br/><w:r><w:rPr/><w:t xml:space="preserve">V minulém desetiletí Skupina Renault a Aliance již investovaly více než 10 miliard eur do elektrifikace. Tento pohyb se zrychluje: Aliance bude investovat v příštích pěti letech 23 miliard eur. Díky 5 společným elektrickým platformám pokrývajícím velkou část segmentů má značka Renault ambici dosáhnout toho, aby elektromobily tvořily v roce 2030 v Evropě 100 % osobních vozidel.</w:t></w:r></w:p><w:p><w:pPr/><w:r><w:rPr/><w:t xml:space="preserve">Skupina Renault spustila před více než jedním rokem projekt ReFactory, aby přeměnila továrnu ve Flins (Yvelines, Francie) na první evropský závod věnovaný cirkulární ekonomice mobility, přičemž tento projekt vychází ze 4 center:</w:t></w:r><w:br/><w:r><w:rPr/><w:t xml:space="preserve">- RE-TROFIT s „Factory VO“ (Ojetá vozidla), první továrna specializující se na úpravu ojetých vozidel v průmyslovém měřítku;</w:t></w:r><w:br/><w:r><w:rPr/><w:t xml:space="preserve">- RE-ENERGY podílející se na vývoji aplikací týkajících se 2. života baterií a nových energií;</w:t></w:r><w:br/><w:r><w:rPr/><w:t xml:space="preserve">- RE-CYCLE soustřeďující činnosti zaměřen na recyklaci, nové použití dílů a surovin;</w:t></w:r><w:br/><w:r><w:rPr/><w:t xml:space="preserve">- RE-START, projekt centra inovací a vzdělávání sestávající ze 3 subjektů: centrum inovací pro průmysl 4.0, vzdělávací středisko a inkubátor zaměřený na výzkum a inovace v cirkulární ekonomice.</w:t></w:r></w:p><w:p><w:pPr/><w:r><w:rPr/><w:t xml:space="preserve">ReFactory ve Flins hodlá renovovat 45 000 vozidel ročně od roku 2023 a opravovat 20 000 baterií ročně od roku 2030, s 3 000 pracovními místy v závodě v roce 2030. Cíle tohoto globálního průmyslového projektu jsou širší jako u projektu zahájeného v závodě v Seville.</w:t></w:r></w:p><w:p><w:pPr/><w:r><w:rPr/><w:t xml:space="preserve">Skupina Renault konečně přetváří svou organizaci, aby podpořila transformaci oborů v automobilovém průmyslu, a proto v roce 2021 spustila ReKnow University věnovanou získávání nových kompetencí v oblasti elektrifikace, analýzy a kybernetické bezpečnosti údajů nebo recyklace vozidel a jejich baterií. Ve Francii bylo v roce 2021 proškoleno 2 600 osob a další více než 3 000 budou proškoleny v roce 2022 s cílem dosáhnout 10 000 proškolených osob v roce 2025.</w:t></w:r></w:p><w:p><w:pPr/><w:r><w:rPr><w:b w:val="1"/><w:bCs w:val="1"/></w:rPr><w:t xml:space="preserve">Vyhlídky & strategie</w:t></w:r></w:p><w:p><w:pPr/><w:r><w:rPr><w:b w:val="1"/><w:bCs w:val="1"/></w:rPr><w:t xml:space="preserve">Vyhlídky 2022</w:t></w:r><w:br/><w:r><w:rPr/><w:t xml:space="preserve">V době, kdy situaci na trhu stále ovlivňuje nedostatek polovodičů, zejména v 1. pololet (celková odhadovaná ztráta činí 300 000 vozidel z výroby v roce 2022), a zvýšení cen surovin, Skupina předpovídá pro tento rok:</w:t></w:r><w:br/><w:r><w:rPr/><w:t xml:space="preserve">- Provozní marži Skupiny vyšší nebo rovnu 4 %</w:t></w:r><w:br/><w:r><w:rPr/><w:t xml:space="preserve">- Provozní free cash-flow automobilky vyšší nebo rovno 1 miliardě €</w:t></w:r></w:p><w:p><w:pPr/><w:r><w:rPr/><w:t xml:space="preserve">Díky svým výsledkům je Skupina Renault Group schopna urychlit svou strategii Renaulution prostřednictvím zhodnocení svých výrobních a technologických předností:</w:t></w:r><w:br/><w:r><w:rPr/><w:t xml:space="preserve">- Skupina Renault potvrzuje své ambice v oblasti elektromobilů s cílem, aby značka Renault prodávala v roce 2030 v Evropě ze 100 % jen elektromobily. Proto Skupina Renault posuzuje možnost soustředit své ze 100 % elektrické aktivity a technologie do jednoho specifického subjektu ve Francii s cílem urychlit jejich růst.</w:t></w:r><w:br/><w:r><w:rPr/><w:t xml:space="preserve">- Skupina Renault současně studuje možnost soustředit své aktivity a technologie týkající se motorů, spalovacích a hybridních motorů, provozované mimo Francii, do jednoho specifického subjektu ve Francii s cílem posílit potenciál technologií a know-how Skupiny Renault.</w:t></w:r></w:p><w:p><w:pPr/><w:r><w:rPr/><w:t xml:space="preserve">Výsledky těchto úvah budou pravidelně diskutovány s jednotlivými orgány Skupiny a budou předmětem informací a/nebo konzultací podle ustanovení platných z úkonů v příslušných zemích.</w:t></w:r></w:p><w:p><w:pPr/><w:r><w:rPr/><w:t xml:space="preserve">Protože Skupina Renault je napřed v plnění střednědobých cílů Renaulution a tak v souvislosti s výsledky těchto strategických úvah, představí na podzim roku 2022 v rámci Capital Market Day aktualizaci své strategie, jejímž cílem je, aby se Skupina Renault stala konkurenceschopným, hi-tech, odpovědným a uznávaným subjektem.</w:t></w:r></w:p><w:p><w:pPr/><w:r><w:rPr><w:b w:val="1"/><w:bCs w:val="1"/></w:rPr><w:t xml:space="preserve">Konsolidované výsledky Skupiny Renault</w:t></w:r></w:p><w:p><w:pPr/><w:r><w:rPr/><w:t xml:space="preserve"> </w:t></w:r></w:p><w:tbl><w:tblGrid><w:gridCol/><w:gridCol/><w:gridCol/><w:gridCol/><w:gridCol/><w:gridCol/></w:tblGrid><w:tblPr><w:tblW w:w="0" w:type="auto"/><w:tblLayout w:type="autofit"/><w:bidiVisual w:val="0"/></w:tblPr><w:tr><w:trPr><w:tblHeader w:val="1"/></w:trPr><w:tc><w:tcPr/><w:p><w:pPr><w:jc w:val="center"/></w:pPr><w:r><w:rPr/><w:t xml:space="preserve">En M€</w:t></w:r></w:p></w:tc><w:tc><w:tcPr/><w:p><w:pPr><w:jc w:val="center"/></w:pPr><w:r><w:rPr/><w:t xml:space="preserve">2019</w:t></w:r></w:p></w:tc><w:tc><w:tcPr/><w:p><w:pPr><w:jc w:val="center"/></w:pPr><w:r><w:rPr/><w:t xml:space="preserve">2020</w:t></w:r></w:p></w:tc><w:tc><w:tcPr/><w:p><w:pPr><w:jc w:val="center"/></w:pPr><w:r><w:rPr/><w:t xml:space="preserve">2021</w:t></w:r></w:p></w:tc><w:tc><w:tcPr/><w:p><w:pPr><w:jc w:val="center"/></w:pPr><w:r><w:rPr/><w:t xml:space="preserve">Rozdíl</w:t></w:r><w:br/><w:r><w:rPr/><w:t xml:space="preserve">			2021/2019</w:t></w:r></w:p></w:tc><w:tc><w:tcPr/><w:p><w:pPr><w:jc w:val="center"/></w:pPr><w:r><w:rPr/><w:t xml:space="preserve">Rozdíl</w:t></w:r><w:br/><w:r><w:rPr/><w:t xml:space="preserve">			2021/2020</w:t></w:r></w:p></w:tc></w:tr><w:tr><w:trPr/><w:tc><w:tcPr/><w:p><w:pPr><w:jc w:val="start"/></w:pPr><w:r><w:rPr/><w:t xml:space="preserve">Obrat Skupiny</w:t></w:r></w:p></w:tc><w:tc><w:tcPr/><w:p><w:pPr><w:jc w:val="center"/></w:pPr><w:r><w:rPr/><w:t xml:space="preserve">55 537</w:t></w:r></w:p></w:tc><w:tc><w:tcPr/><w:p><w:pPr><w:jc w:val="center"/></w:pPr><w:r><w:rPr/><w:t xml:space="preserve">43 474</w:t></w:r></w:p></w:tc><w:tc><w:tcPr/><w:p><w:pPr><w:jc w:val="center"/></w:pPr><w:r><w:rPr/><w:t xml:space="preserve">46 213</w:t></w:r></w:p></w:tc><w:tc><w:tcPr/><w:p><w:pPr><w:jc w:val="center"/></w:pPr><w:r><w:rPr/><w:t xml:space="preserve">-16,8%</w:t></w:r></w:p></w:tc><w:tc><w:tcPr/><w:p><w:pPr><w:jc w:val="center"/></w:pPr><w:r><w:rPr/><w:t xml:space="preserve">+6,3%</w:t></w:r></w:p></w:tc></w:tr><w:tr><w:trPr/><w:tc><w:tcPr/><w:p><w:pPr/><w:r><w:rPr/><w:t xml:space="preserve">Provozní marže</w:t></w:r><w:br/><w:r><w:rPr/><w:t xml:space="preserve">			</w:t></w:r><w:r><w:rPr><w:i w:val="1"/><w:iCs w:val="1"/></w:rPr><w:t xml:space="preserve">V % obratu</w:t></w:r></w:p></w:tc><w:tc><w:tcPr/><w:p><w:pPr><w:jc w:val="center"/></w:pPr><w:r><w:rPr/><w:t xml:space="preserve">2 662</w:t></w:r><w:br/><w:r><w:rPr/><w:t xml:space="preserve">			</w:t></w:r><w:r><w:rPr><w:i w:val="1"/><w:iCs w:val="1"/></w:rPr><w:t xml:space="preserve">4,8 %</w:t></w:r></w:p></w:tc><w:tc><w:tcPr/><w:p><w:pPr><w:jc w:val="center"/></w:pPr><w:r><w:rPr/><w:t xml:space="preserve">-337</w:t></w:r><w:br/><w:r><w:rPr/><w:t xml:space="preserve">			</w:t></w:r><w:r><w:rPr><w:i w:val="1"/><w:iCs w:val="1"/></w:rPr><w:t xml:space="preserve">-0,8 %</w:t></w:r></w:p></w:tc><w:tc><w:tcPr/><w:p><w:pPr><w:jc w:val="center"/></w:pPr><w:r><w:rPr/><w:t xml:space="preserve">1 663</w:t></w:r><w:br/><w:r><w:rPr/><w:t xml:space="preserve">			</w:t></w:r><w:r><w:rPr><w:i w:val="1"/><w:iCs w:val="1"/></w:rPr><w:t xml:space="preserve">3,6 %</w:t></w:r></w:p></w:tc><w:tc><w:tcPr/><w:p><w:pPr><w:jc w:val="center"/></w:pPr><w:r><w:rPr/><w:t xml:space="preserve">-999</w:t></w:r><w:br/><w:r><w:rPr/><w:t xml:space="preserve">			</w:t></w:r><w:r><w:rPr><w:i w:val="1"/><w:iCs w:val="1"/></w:rPr><w:t xml:space="preserve">-1,2 bodu</w:t></w:r></w:p></w:tc><w:tc><w:tcPr/><w:p><w:pPr><w:jc w:val="center"/></w:pPr><w:r><w:rPr/><w:t xml:space="preserve">+1 999</w:t></w:r><w:br/><w:r><w:rPr/><w:t xml:space="preserve">			</w:t></w:r><w:r><w:rPr><w:i w:val="1"/><w:iCs w:val="1"/></w:rPr><w:t xml:space="preserve">+4,4 bodů</w:t></w:r></w:p></w:tc></w:tr><w:tr><w:trPr/><w:tc><w:tcPr/><w:p><w:pPr/><w:r><w:rPr/><w:t xml:space="preserve">Ostatní provozní výnosy a náklady</w:t></w:r></w:p></w:tc><w:tc><w:tcPr/><w:p><w:pPr><w:jc w:val="center"/></w:pPr><w:r><w:rPr/><w:t xml:space="preserve">-557</w:t></w:r></w:p></w:tc><w:tc><w:tcPr/><w:p><w:pPr><w:jc w:val="center"/></w:pPr><w:r><w:rPr/><w:t xml:space="preserve">-1 662</w:t></w:r></w:p></w:tc><w:tc><w:tcPr/><w:p><w:pPr><w:jc w:val="center"/></w:pPr><w:r><w:rPr/><w:t xml:space="preserve">-265</w:t></w:r></w:p></w:tc><w:tc><w:tcPr/><w:p><w:pPr><w:jc w:val="center"/></w:pPr><w:r><w:rPr/><w:t xml:space="preserve">+292</w:t></w:r></w:p></w:tc><w:tc><w:tcPr/><w:p><w:pPr><w:jc w:val="center"/></w:pPr><w:r><w:rPr/><w:t xml:space="preserve">+1397</w:t></w:r></w:p></w:tc></w:tr><w:tr><w:trPr/><w:tc><w:tcPr/><w:p><w:pPr/><w:r><w:rPr/><w:t xml:space="preserve">Provozní výsledek</w:t></w:r></w:p></w:tc><w:tc><w:tcPr/><w:p><w:pPr><w:jc w:val="center"/></w:pPr><w:r><w:rPr/><w:t xml:space="preserve">2 105</w:t></w:r></w:p></w:tc><w:tc><w:tcPr/><w:p><w:pPr><w:jc w:val="center"/></w:pPr><w:r><w:rPr/><w:t xml:space="preserve">-1 999</w:t></w:r></w:p></w:tc><w:tc><w:tcPr/><w:p><w:pPr><w:jc w:val="center"/></w:pPr><w:r><w:rPr/><w:t xml:space="preserve">1 398</w:t></w:r></w:p></w:tc><w:tc><w:tcPr/><w:p><w:pPr><w:jc w:val="center"/></w:pPr><w:r><w:rPr/><w:t xml:space="preserve">-707</w:t></w:r></w:p></w:tc><w:tc><w:tcPr/><w:p><w:pPr><w:jc w:val="center"/></w:pPr><w:r><w:rPr/><w:t xml:space="preserve">+3 396</w:t></w:r></w:p></w:tc></w:tr><w:tr><w:trPr/><w:tc><w:tcPr/><w:p><w:pPr/><w:r><w:rPr/><w:t xml:space="preserve">Finanční výsledek</w:t></w:r></w:p></w:tc><w:tc><w:tcPr/><w:p><w:pPr><w:jc w:val="center"/></w:pPr><w:r><w:rPr/><w:t xml:space="preserve">-442</w:t></w:r></w:p></w:tc><w:tc><w:tcPr/><w:p><w:pPr><w:jc w:val="center"/></w:pPr><w:r><w:rPr/><w:t xml:space="preserve">-482</w:t></w:r></w:p></w:tc><w:tc><w:tcPr/><w:p><w:pPr><w:jc w:val="center"/></w:pPr><w:r><w:rPr/><w:t xml:space="preserve">-350</w:t></w:r></w:p></w:tc><w:tc><w:tcPr/><w:p><w:pPr><w:jc w:val="center"/></w:pPr><w:r><w:rPr/><w:t xml:space="preserve">+93</w:t></w:r></w:p></w:tc><w:tc><w:tcPr/><w:p><w:pPr><w:jc w:val="center"/></w:pPr><w:r><w:rPr/><w:t xml:space="preserve">+132</w:t></w:r></w:p></w:tc></w:tr><w:tr><w:trPr/><w:tc><w:tcPr/><w:p><w:pPr/><w:r><w:rPr/><w:t xml:space="preserve">Podíl dalších společností ve výsledku</w:t></w:r></w:p></w:tc><w:tc><w:tcPr/><w:p><w:pPr><w:jc w:val="center"/></w:pPr><w:r><w:rPr/><w:t xml:space="preserve">-190</w:t></w:r></w:p></w:tc><w:tc><w:tcPr/><w:p><w:pPr><w:jc w:val="center"/></w:pPr><w:r><w:rPr/><w:t xml:space="preserve">-5 145</w:t></w:r></w:p></w:tc><w:tc><w:tcPr/><w:p><w:pPr><w:jc w:val="center"/></w:pPr><w:r><w:rPr/><w:t xml:space="preserve">515</w:t></w:r></w:p></w:tc><w:tc><w:tcPr/><w:p><w:pPr><w:jc w:val="center"/></w:pPr><w:r><w:rPr/><w:t xml:space="preserve">+705</w:t></w:r></w:p></w:tc><w:tc><w:tcPr/><w:p><w:pPr><w:jc w:val="center"/></w:pPr><w:r><w:rPr/><w:t xml:space="preserve">+5 660</w:t></w:r></w:p></w:tc></w:tr><w:tr><w:trPr/><w:tc><w:tcPr/><w:p><w:pPr/><w:r><w:rPr><w:i w:val="1"/><w:iCs w:val="1"/></w:rPr><w:t xml:space="preserve">Z toho: NISSAN</w:t></w:r></w:p></w:tc><w:tc><w:tcPr/><w:p><w:pPr><w:jc w:val="center"/></w:pPr><w:r><w:rPr/><w:t xml:space="preserve">242</w:t></w:r></w:p></w:tc><w:tc><w:tcPr/><w:p><w:pPr><w:jc w:val="center"/></w:pPr><w:r><w:rPr/><w:t xml:space="preserve">-4 970</w:t></w:r></w:p></w:tc><w:tc><w:tcPr/><w:p><w:pPr><w:jc w:val="center"/></w:pPr><w:r><w:rPr/><w:t xml:space="preserve">380</w:t></w:r></w:p></w:tc><w:tc><w:tcPr/><w:p><w:pPr><w:jc w:val="center"/></w:pPr><w:r><w:rPr/><w:t xml:space="preserve">+138</w:t></w:r></w:p></w:tc><w:tc><w:tcPr/><w:p><w:pPr><w:jc w:val="center"/></w:pPr><w:r><w:rPr/><w:t xml:space="preserve">+5 350</w:t></w:r></w:p></w:tc></w:tr><w:tr><w:trPr/><w:tc><w:tcPr/><w:p><w:pPr/><w:r><w:rPr/><w:t xml:space="preserve">Běžné daně a odložené daňové závazky</w:t></w:r></w:p></w:tc><w:tc><w:tcPr/><w:p><w:pPr><w:jc w:val="center"/></w:pPr><w:r><w:rPr/><w:t xml:space="preserve">-1 454</w:t></w:r></w:p></w:tc><w:tc><w:tcPr/><w:p><w:pPr><w:jc w:val="center"/></w:pPr><w:r><w:rPr/><w:t xml:space="preserve">-420</w:t></w:r></w:p></w:tc><w:tc><w:tcPr/><w:p><w:pPr><w:jc w:val="center"/></w:pPr><w:r><w:rPr/><w:t xml:space="preserve">-596</w:t></w:r></w:p></w:tc><w:tc><w:tcPr/><w:p><w:pPr><w:jc w:val="center"/></w:pPr><w:r><w:rPr/><w:t xml:space="preserve">+858</w:t></w:r></w:p></w:tc><w:tc><w:tcPr/><w:p><w:pPr><w:jc w:val="center"/></w:pPr><w:r><w:rPr/><w:t xml:space="preserve">-176</w:t></w:r></w:p></w:tc></w:tr><w:tr><w:trPr/><w:tc><w:tcPr/><w:p><w:pPr/><w:r><w:rPr/><w:t xml:space="preserve">Čistý výsledek</w:t></w:r></w:p></w:tc><w:tc><w:tcPr/><w:p><w:pPr><w:jc w:val="center"/></w:pPr><w:r><w:rPr/><w:t xml:space="preserve">19</w:t></w:r></w:p></w:tc><w:tc><w:tcPr/><w:p><w:pPr><w:jc w:val="center"/></w:pPr><w:r><w:rPr/><w:t xml:space="preserve">-8 046</w:t></w:r></w:p></w:tc><w:tc><w:tcPr/><w:p><w:pPr><w:jc w:val="center"/></w:pPr><w:r><w:rPr/><w:t xml:space="preserve">967</w:t></w:r></w:p></w:tc><w:tc><w:tcPr/><w:p><w:pPr><w:jc w:val="center"/></w:pPr><w:r><w:rPr/><w:t xml:space="preserve">+948</w:t></w:r></w:p></w:tc><w:tc><w:tcPr/><w:p><w:pPr><w:jc w:val="center"/></w:pPr><w:r><w:rPr/><w:t xml:space="preserve">+9 013</w:t></w:r></w:p></w:tc></w:tr><w:tr><w:trPr/><w:tc><w:tcPr/><w:p><w:pPr/><w:r><w:rPr/><w:t xml:space="preserve">Čistý výsledek, podíl Skupiny</w:t></w:r></w:p></w:tc><w:tc><w:tcPr/><w:p><w:pPr><w:jc w:val="center"/></w:pPr><w:r><w:rPr/><w:t xml:space="preserve">-141</w:t></w:r></w:p></w:tc><w:tc><w:tcPr/><w:p><w:pPr><w:jc w:val="center"/></w:pPr><w:r><w:rPr/><w:t xml:space="preserve">-8 008</w:t></w:r></w:p></w:tc><w:tc><w:tcPr/><w:p><w:pPr><w:jc w:val="center"/></w:pPr><w:r><w:rPr/><w:t xml:space="preserve">888</w:t></w:r></w:p></w:tc><w:tc><w:tcPr/><w:p><w:pPr><w:jc w:val="center"/></w:pPr><w:r><w:rPr/><w:t xml:space="preserve">+1 029</w:t></w:r></w:p></w:tc><w:tc><w:tcPr/><w:p><w:pPr><w:jc w:val="center"/></w:pPr><w:r><w:rPr/><w:t xml:space="preserve">+8 896</w:t></w:r></w:p></w:tc></w:tr><w:tr><w:trPr/><w:tc><w:tcPr/><w:p><w:pPr/><w:r><w:rPr/><w:t xml:space="preserve">Provozní free Cash-flow automobilky</w:t></w:r></w:p></w:tc><w:tc><w:tcPr/><w:p><w:pPr><w:jc w:val="center"/></w:pPr><w:r><w:rPr/><w:t xml:space="preserve">153</w:t></w:r></w:p></w:tc><w:tc><w:tcPr/><w:p><w:pPr><w:jc w:val="center"/></w:pPr><w:r><w:rPr/><w:t xml:space="preserve">-4 551</w:t></w:r></w:p></w:tc><w:tc><w:tcPr/><w:p><w:pPr><w:jc w:val="center"/></w:pPr><w:r><w:rPr/><w:t xml:space="preserve">1 272</w:t></w:r></w:p></w:tc><w:tc><w:tcPr/><w:p><w:pPr><w:jc w:val="center"/></w:pPr><w:r><w:rPr/><w:t xml:space="preserve">+1 119</w:t></w:r></w:p></w:tc><w:tc><w:tcPr/><w:p><w:pPr><w:jc w:val="center"/></w:pPr><w:r><w:rPr/><w:t xml:space="preserve">+5 823</w:t></w:r></w:p></w:tc></w:tr></w:tbl><w:p><w:pPr/><w:br/><w:r><w:rPr><w:b w:val="1"/><w:bCs w:val="1"/></w:rPr><w:t xml:space="preserve">Další informace</w:t></w:r><w:br/><w:r><w:rPr/><w:t xml:space="preserve">Konsolidovaná účetní závěrka Skupiny a závěrka společnosti Renault SA ke dni 31. prosince 2021 byly schváleny na jednání představenstva, které se konalo dne 17. února 2022 za předsednictví Jeana-Dominiquea Senarda.</w:t></w:r><w:br/><w:r><w:rPr/><w:t xml:space="preserve">Auditoři Skupiny provedli audit těchto závěrek a pracuje se na zprávách z auditu za účelem ověření konsolidované účetín závěrky a závěrky společnosti.</w:t></w:r><w:br/><w:r><w:rPr/><w:t xml:space="preserve">Výroční finanční zpráva s plnou analýzou finančních výsledků za rok 2021 je k dispozici na </w:t></w:r><w:hyperlink r:id="rId7" w:history="1"><w:r><w:rPr/><w:t xml:space="preserve">www.group.renault.com</w:t></w:r></w:hyperlink><w:r><w:rPr/><w:t xml:space="preserve"> v rubrice „Finance“.</w:t></w:r></w:p><w:p><w:pPr/><w:r><w:rPr/><w:t xml:space="preserve"> </w:t></w:r></w:p><w:p><w:pPr><w:spacing w:before="0" w:after="0" w:line="343.2" w:lineRule="auto"/></w:pPr><w:r><w:rPr><w:color w:val="black"/><w:b w:val="0"/><w:bCs w:val="0"/><w:i w:val="1"/><w:iCs w:val="1"/><w:spacing w:val="0"/><w:shd w:val="clear" w:fill="1f2532"/></w:rPr><w:t xml:space="preserve">(1) „Automobilka“ včetně AVTOVAZU.</w:t></w:r><w:br/><w:r><w:rPr><w:color w:val="black"/><w:b w:val="0"/><w:bCs w:val="0"/><w:i w:val="1"/><w:iCs w:val="1"/><w:spacing w:val="0"/><w:shd w:val="clear" w:fill="1f2532"/></w:rPr><w:t xml:space="preserve">(2) Mrtvý bod mimo dividend z RCI, změny potřeby provozního kapitálu, nákladů na restrukturalizaci, mimo AVTOVAZ a JVs v Číně.</w:t></w:r><w:br/><w:r><w:rPr><w:color w:val="black"/><w:b w:val="0"/><w:bCs w:val="0"/><w:i w:val="1"/><w:iCs w:val="1"/><w:spacing w:val="0"/><w:shd w:val="clear" w:fill="1f2532"/></w:rPr><w:t xml:space="preserve">(3) Tyto výsledky by měly být konsolidovány a oficiálně potvrzeny Evropskou komisí v následujících měsících. CAFE = Corporate Average Fuel Economy</w:t></w:r><w:br/><w:r><w:rPr><w:color w:val="black"/><w:b w:val="0"/><w:bCs w:val="0"/><w:i w:val="1"/><w:iCs w:val="1"/><w:spacing w:val="0"/><w:shd w:val="clear" w:fill="1f2532"/></w:rPr><w:t xml:space="preserve">(4) Sortiment E-TECH je tvořen elektromobily a hybridy.</w:t></w:r><w:br/><w:r><w:rPr><w:color w:val="black"/><w:b w:val="0"/><w:bCs w:val="0"/><w:i w:val="1"/><w:iCs w:val="1"/><w:spacing w:val="0"/><w:shd w:val="clear" w:fill="1f2532"/></w:rPr><w:t xml:space="preserve">(5) Z důvodu analýzy rozdílů konsolidovaného obratu při konstantním směnném kurzu přepočítává Skupina Renault Group obrat ze stávajícího četného období tak, že používá průměrný směnný kurz z předchozího období.</w:t></w:r><w:br/><w:r><w:rPr><w:color w:val="black"/><w:b w:val="0"/><w:bCs w:val="0"/><w:i w:val="1"/><w:iCs w:val="1"/><w:spacing w:val="0"/><w:shd w:val="clear" w:fill="1f2532"/></w:rPr><w:t xml:space="preserve">(6) „Automobilka“ včetně AVTOVAZU.</w:t></w:r></w:p><w:p/><w:p><w:pPr/><w:r><w:rPr/><w:t xml:space="preserve">Tiskové a PR oddělení společnosti Renault Česká Republika, a.s.</w:t></w:r><w:br/><w:r><w:rPr/><w:t xml:space="preserve">Jitka Skaličková, </w:t></w:r><w:hyperlink r:id="rId8" w:history="1"><w:r><w:rPr/><w:t xml:space="preserve">jitka.skalickova@renault.cz</w:t></w:r></w:hyperlink><w:br/><w:hyperlink r:id="rId9" w:history="1"><w:r><w:rPr/><w:t xml:space="preserve">www.renault.cz</w:t></w:r></w:hyperlink><w:r><w:rPr/><w:t xml:space="preserve"> - </w:t></w:r><w:hyperlink r:id="rId10" w:history="1"><w:r><w:rPr/><w:t xml:space="preserve">www.dacia.cz</w:t></w:r></w:hyperlink><w:r><w:rPr/><w:t xml:space="preserve">, </w:t></w:r><w:hyperlink r:id="rId11" w:history="1"><w:r><w:rPr/><w:t xml:space="preserve">media.renault.cz</w:t></w:r></w:hyperlink><w:br/><w:r><w:rPr/><w:t xml:space="preserve">Sledujte nás na:</w:t></w:r><w:br/><w:hyperlink r:id="rId12" w:history="1"><w:r><w:rPr/><w:t xml:space="preserve">https://www.instagram.com/renault_cz/</w:t></w:r></w:hyperlink><w:br/><w:hyperlink r:id="rId13" w:history="1"><w:r><w:rPr/><w:t xml:space="preserve">https://www.facebook.com/renault.cz/</w:t></w:r></w:hyperlink><w:br/><w:hyperlink r:id="rId14" w:history="1"><w:r><w:rPr/><w:t xml:space="preserve">https://www.youtube.com/user/renaultCZE</w:t></w:r></w:hyperlink></w:p><w:sectPr><w:headerReference w:type="default" r:id="rId15"/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start"/>
    </w:pPr>
    <w:r>
      <w:pict>
        <v:shape type="#_x0000_t75" stroked="f" style="width:178pt; height:19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368CDB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BE86C0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73B859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983EAA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aultgroup.com/" TargetMode="External"/><Relationship Id="rId8" Type="http://schemas.openxmlformats.org/officeDocument/2006/relationships/hyperlink" Target="mailto:jitka.skalickova@renault.cz" TargetMode="External"/><Relationship Id="rId9" Type="http://schemas.openxmlformats.org/officeDocument/2006/relationships/hyperlink" Target="https://www.renault.cz/" TargetMode="External"/><Relationship Id="rId10" Type="http://schemas.openxmlformats.org/officeDocument/2006/relationships/hyperlink" Target="https://www.dacia.cz/" TargetMode="External"/><Relationship Id="rId11" Type="http://schemas.openxmlformats.org/officeDocument/2006/relationships/hyperlink" Target="https://media.renault.cz/" TargetMode="External"/><Relationship Id="rId12" Type="http://schemas.openxmlformats.org/officeDocument/2006/relationships/hyperlink" Target="https://www.instagram.com/renault_cz/" TargetMode="External"/><Relationship Id="rId13" Type="http://schemas.openxmlformats.org/officeDocument/2006/relationships/hyperlink" Target="https://www.facebook.com/renault.cz/" TargetMode="External"/><Relationship Id="rId14" Type="http://schemas.openxmlformats.org/officeDocument/2006/relationships/hyperlink" Target="https://www.youtube.com/user/renaultCZE" TargetMode="External"/><Relationship Id="rId15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2022-02-18T22:18:23+01:00</dcterms:created>
  <dcterms:modified xsi:type="dcterms:W3CDTF">2022-02-18T22:18:23+01:00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