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58" w:lineRule="exact" w:before="139"/>
        <w:ind w:left="6710" w:right="0" w:firstLine="0"/>
        <w:jc w:val="left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914400</wp:posOffset>
            </wp:positionH>
            <wp:positionV relativeFrom="paragraph">
              <wp:posOffset>5092</wp:posOffset>
            </wp:positionV>
            <wp:extent cx="971372" cy="4394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372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TISKOVÁ ZPRÁVA</w:t>
      </w:r>
    </w:p>
    <w:p>
      <w:pPr>
        <w:spacing w:before="0"/>
        <w:ind w:left="6710" w:right="0" w:firstLine="0"/>
        <w:jc w:val="left"/>
        <w:rPr>
          <w:sz w:val="22"/>
        </w:rPr>
      </w:pPr>
      <w:r>
        <w:rPr>
          <w:sz w:val="22"/>
        </w:rPr>
        <w:t>17/01/2022</w:t>
      </w:r>
    </w:p>
    <w:p>
      <w:pPr>
        <w:pStyle w:val="BodyText"/>
        <w:spacing w:before="10"/>
        <w:rPr>
          <w:sz w:val="11"/>
        </w:rPr>
      </w:pPr>
      <w:r>
        <w:rPr/>
        <w:pict>
          <v:rect style="position:absolute;margin-left:70.625pt;margin-top:10.063006pt;width:454.35pt;height: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Title"/>
        <w:spacing w:line="216" w:lineRule="auto"/>
      </w:pPr>
      <w:r>
        <w:rPr/>
        <w:t>Skupina Renault pokračuje v růstu v segmentech vytvářejících hodnotu</w:t>
      </w:r>
    </w:p>
    <w:p>
      <w:pPr>
        <w:pStyle w:val="BodyText"/>
        <w:spacing w:before="2"/>
        <w:rPr>
          <w:rFonts w:ascii="NouvelR"/>
          <w:b/>
          <w:sz w:val="69"/>
        </w:r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0" w:after="0"/>
        <w:ind w:left="860" w:right="0" w:hanging="361"/>
        <w:jc w:val="left"/>
        <w:rPr>
          <w:sz w:val="20"/>
        </w:rPr>
      </w:pPr>
      <w:r>
        <w:rPr>
          <w:sz w:val="20"/>
        </w:rPr>
        <w:t>Celosvětové prodeje skupiny Renault dosáhly 2 696 401 vozů, což představuje pokles o 4,5</w:t>
      </w:r>
      <w:r>
        <w:rPr>
          <w:spacing w:val="-25"/>
          <w:sz w:val="20"/>
        </w:rPr>
        <w:t> </w:t>
      </w:r>
      <w:r>
        <w:rPr>
          <w:sz w:val="20"/>
        </w:rPr>
        <w:t>%.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28" w:after="0"/>
        <w:ind w:left="860" w:right="178" w:hanging="360"/>
        <w:jc w:val="left"/>
        <w:rPr>
          <w:sz w:val="20"/>
        </w:rPr>
      </w:pPr>
      <w:r>
        <w:rPr>
          <w:sz w:val="20"/>
        </w:rPr>
        <w:t>Skupina Renault pokračuje v prodejní politice zahájené </w:t>
      </w:r>
      <w:r>
        <w:rPr>
          <w:spacing w:val="-3"/>
          <w:sz w:val="20"/>
        </w:rPr>
        <w:t>ve </w:t>
      </w:r>
      <w:r>
        <w:rPr>
          <w:sz w:val="20"/>
        </w:rPr>
        <w:t>třetím čtvrtletí roku 2020, která vede ke zvyšování podílu prodeje v nejziskovějších kanálech. V pěti hlavních evropských zemích (Francii, Německu, Španělsku, Itálii a Spojeném království) představuje podíl prodeje soukromým osobám nyní 58 %, což je o téměř 6procentních bodů více než v roce 2019, tedy v situaci před</w:t>
      </w:r>
      <w:r>
        <w:rPr>
          <w:spacing w:val="-5"/>
          <w:sz w:val="20"/>
        </w:rPr>
        <w:t> </w:t>
      </w:r>
      <w:r>
        <w:rPr>
          <w:sz w:val="20"/>
        </w:rPr>
        <w:t>krizí.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29" w:after="0"/>
        <w:ind w:left="860" w:right="165" w:hanging="360"/>
        <w:jc w:val="left"/>
        <w:rPr>
          <w:sz w:val="20"/>
        </w:rPr>
      </w:pPr>
      <w:r>
        <w:rPr>
          <w:sz w:val="20"/>
        </w:rPr>
        <w:t>Značka Renault posiluje svou pozici </w:t>
      </w:r>
      <w:r>
        <w:rPr>
          <w:spacing w:val="-3"/>
          <w:sz w:val="20"/>
        </w:rPr>
        <w:t>na </w:t>
      </w:r>
      <w:r>
        <w:rPr>
          <w:sz w:val="20"/>
        </w:rPr>
        <w:t>elektrifikovaném trhu v Evropě. Řada E-Tech (elektromobily a hybridní motory) bude v roce 2021 tvořit 30 % prodejů osobních</w:t>
      </w:r>
      <w:r>
        <w:rPr>
          <w:spacing w:val="-25"/>
          <w:sz w:val="20"/>
        </w:rPr>
        <w:t> </w:t>
      </w:r>
      <w:r>
        <w:rPr>
          <w:sz w:val="20"/>
        </w:rPr>
        <w:t>automobilů Renault v Evropě (oproti 17 % v roce 2020). Renault Arkana, který umožnil značce návrat do segmentu C, se z 56 % prodává ve verzích</w:t>
      </w:r>
      <w:r>
        <w:rPr>
          <w:spacing w:val="1"/>
          <w:sz w:val="20"/>
        </w:rPr>
        <w:t> </w:t>
      </w:r>
      <w:r>
        <w:rPr>
          <w:sz w:val="20"/>
        </w:rPr>
        <w:t>E-Tech.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31" w:after="0"/>
        <w:ind w:left="860" w:right="139" w:hanging="360"/>
        <w:jc w:val="left"/>
        <w:rPr>
          <w:sz w:val="20"/>
        </w:rPr>
      </w:pPr>
      <w:r>
        <w:rPr>
          <w:sz w:val="20"/>
        </w:rPr>
        <w:t>Obnova modelové řady značky Dacia byla úspěšná, zejména díky modelu Nové Sandero, který zůstává nejprodávanějším vozem mezi soukromými zákazníky v Evropě. S 6,2% podílem na trhu soukromých zákazníků se značka poprvé vyšplhala na třetí</w:t>
      </w:r>
      <w:r>
        <w:rPr>
          <w:spacing w:val="-1"/>
          <w:sz w:val="20"/>
        </w:rPr>
        <w:t> </w:t>
      </w:r>
      <w:r>
        <w:rPr>
          <w:sz w:val="20"/>
        </w:rPr>
        <w:t>místo.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31" w:after="0"/>
        <w:ind w:left="860" w:right="603" w:hanging="360"/>
        <w:jc w:val="left"/>
        <w:rPr>
          <w:sz w:val="20"/>
        </w:rPr>
      </w:pPr>
      <w:r>
        <w:rPr>
          <w:sz w:val="20"/>
        </w:rPr>
        <w:t>Značka LADA si udržuje vedoucí postavení </w:t>
      </w:r>
      <w:r>
        <w:rPr>
          <w:spacing w:val="-3"/>
          <w:sz w:val="20"/>
        </w:rPr>
        <w:t>na </w:t>
      </w:r>
      <w:r>
        <w:rPr>
          <w:sz w:val="20"/>
        </w:rPr>
        <w:t>ruském trhu s tržním podílem téměř 21 </w:t>
      </w:r>
      <w:r>
        <w:rPr>
          <w:spacing w:val="5"/>
          <w:sz w:val="20"/>
        </w:rPr>
        <w:t>%. </w:t>
      </w:r>
      <w:r>
        <w:rPr>
          <w:sz w:val="20"/>
        </w:rPr>
        <w:t>LADA Vesta a LADA Granta obsadily první, resp. druhé místo v žebříčku</w:t>
      </w:r>
      <w:r>
        <w:rPr>
          <w:spacing w:val="-5"/>
          <w:sz w:val="20"/>
        </w:rPr>
        <w:t> </w:t>
      </w:r>
      <w:r>
        <w:rPr>
          <w:sz w:val="20"/>
        </w:rPr>
        <w:t>prodejů.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30" w:after="0"/>
        <w:ind w:left="860" w:right="161" w:hanging="360"/>
        <w:jc w:val="left"/>
        <w:rPr>
          <w:sz w:val="20"/>
        </w:rPr>
      </w:pPr>
      <w:r>
        <w:rPr>
          <w:sz w:val="20"/>
        </w:rPr>
        <w:t>Značka Alpine oznámila velmi výrazný nárůst prodeje o více než 74 % s 2 659 prodanými</w:t>
      </w:r>
      <w:r>
        <w:rPr>
          <w:spacing w:val="-28"/>
          <w:sz w:val="20"/>
        </w:rPr>
        <w:t> </w:t>
      </w:r>
      <w:r>
        <w:rPr>
          <w:sz w:val="20"/>
        </w:rPr>
        <w:t>kusy v roce 2021 a hodlá pokračovat ve svém mezinárodním</w:t>
      </w:r>
      <w:r>
        <w:rPr>
          <w:spacing w:val="-6"/>
          <w:sz w:val="20"/>
        </w:rPr>
        <w:t> </w:t>
      </w:r>
      <w:r>
        <w:rPr>
          <w:sz w:val="20"/>
        </w:rPr>
        <w:t>rozvoji.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29" w:after="0"/>
        <w:ind w:left="860" w:right="240" w:hanging="360"/>
        <w:jc w:val="left"/>
        <w:rPr>
          <w:sz w:val="20"/>
        </w:rPr>
      </w:pPr>
      <w:r>
        <w:rPr>
          <w:sz w:val="20"/>
        </w:rPr>
        <w:t>Objem objednávek skupiny v Evropě se ve srovnání s rokem 2020 zdvojnásobil a činí více</w:t>
      </w:r>
      <w:r>
        <w:rPr>
          <w:spacing w:val="-25"/>
          <w:sz w:val="20"/>
        </w:rPr>
        <w:t> </w:t>
      </w:r>
      <w:r>
        <w:rPr>
          <w:sz w:val="20"/>
        </w:rPr>
        <w:t>než 3 měsíce prodeje, což je podpořeno atraktivitou nabídky Renault E-Tech, užitkových vozidel, vozů Dacia Sandero a Dacia Spring 100 % electrický, zatímco skladové zásoby zaznamenaly ve srovnání s rokem 2020 odhadovaný pokles o přibližně 30</w:t>
      </w:r>
      <w:r>
        <w:rPr>
          <w:spacing w:val="-12"/>
          <w:sz w:val="20"/>
        </w:rPr>
        <w:t> </w:t>
      </w:r>
      <w:r>
        <w:rPr>
          <w:sz w:val="20"/>
        </w:rPr>
        <w:t>%.</w:t>
      </w: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32" w:after="0"/>
        <w:ind w:left="860" w:right="0" w:hanging="361"/>
        <w:jc w:val="left"/>
        <w:rPr>
          <w:sz w:val="20"/>
        </w:rPr>
      </w:pPr>
      <w:r>
        <w:rPr>
          <w:sz w:val="20"/>
        </w:rPr>
        <w:t>Skupina Renault potvrzuje, že v roce 2021 dosáhne svých cílů CAFE (osobní a</w:t>
      </w:r>
      <w:r>
        <w:rPr>
          <w:spacing w:val="-9"/>
          <w:sz w:val="20"/>
        </w:rPr>
        <w:t> </w:t>
      </w:r>
      <w:r>
        <w:rPr>
          <w:sz w:val="20"/>
        </w:rPr>
        <w:t>užitková</w:t>
      </w:r>
    </w:p>
    <w:p>
      <w:pPr>
        <w:pStyle w:val="BodyText"/>
        <w:spacing w:before="1"/>
        <w:ind w:left="860"/>
      </w:pPr>
      <w:r>
        <w:rPr/>
        <w:t>vozidla).</w:t>
      </w:r>
    </w:p>
    <w:p>
      <w:pPr>
        <w:spacing w:after="0"/>
        <w:sectPr>
          <w:type w:val="continuous"/>
          <w:pgSz w:w="11910" w:h="16840"/>
          <w:pgMar w:top="700" w:bottom="280" w:left="1300" w:right="1300"/>
        </w:sectPr>
      </w:pPr>
    </w:p>
    <w:p>
      <w:pPr>
        <w:pStyle w:val="BodyText"/>
        <w:rPr>
          <w:sz w:val="11"/>
        </w:rPr>
      </w:pPr>
    </w:p>
    <w:p>
      <w:pPr>
        <w:spacing w:before="100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Prodeje skupiny Renault podle značek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1057275</wp:posOffset>
            </wp:positionH>
            <wp:positionV relativeFrom="paragraph">
              <wp:posOffset>199593</wp:posOffset>
            </wp:positionV>
            <wp:extent cx="3894486" cy="5073205"/>
            <wp:effectExtent l="0" t="0" r="0" b="0"/>
            <wp:wrapTopAndBottom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4486" cy="507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headerReference w:type="default" r:id="rId6"/>
          <w:pgSz w:w="11910" w:h="16840"/>
          <w:pgMar w:header="720" w:footer="0" w:top="1720" w:bottom="280" w:left="1300" w:right="1300"/>
        </w:sect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spacing w:before="100"/>
        <w:ind w:left="140" w:right="0" w:firstLine="0"/>
        <w:jc w:val="both"/>
        <w:rPr>
          <w:b/>
          <w:sz w:val="22"/>
        </w:rPr>
      </w:pPr>
      <w:r>
        <w:rPr>
          <w:b/>
          <w:sz w:val="22"/>
        </w:rPr>
        <w:t>15 hlavních trhů skupiny Renault v roce 2021</w: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6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1009650</wp:posOffset>
            </wp:positionH>
            <wp:positionV relativeFrom="paragraph">
              <wp:posOffset>171145</wp:posOffset>
            </wp:positionV>
            <wp:extent cx="4543425" cy="3381375"/>
            <wp:effectExtent l="0" t="0" r="0" b="0"/>
            <wp:wrapTopAndBottom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spacing w:before="0"/>
        <w:ind w:left="140" w:right="0" w:firstLine="0"/>
        <w:jc w:val="both"/>
        <w:rPr>
          <w:sz w:val="16"/>
        </w:rPr>
      </w:pPr>
      <w:r>
        <w:rPr>
          <w:sz w:val="16"/>
        </w:rPr>
        <w:t>O skupině Renault</w:t>
      </w:r>
    </w:p>
    <w:p>
      <w:pPr>
        <w:spacing w:line="276" w:lineRule="auto" w:before="32"/>
        <w:ind w:left="140" w:right="134" w:firstLine="0"/>
        <w:jc w:val="both"/>
        <w:rPr>
          <w:sz w:val="16"/>
        </w:rPr>
      </w:pPr>
      <w:r>
        <w:rPr>
          <w:sz w:val="16"/>
        </w:rPr>
        <w:t>Skupina Renault stojí v čele inovace mobility. Díky spojenectví se společnostmi Nissan a Mitsubishi Motors a jedinečným odborným znalostem v oblasti elektrifikace využívá skupina komplementárnosti svých pěti značek – Renault – Dacia – LADA – Alpine – Dacia a Mobilize – a nabízí svým zákazníkům inovativní a udržitelná řešení mobility. Skupina, která působí ve více než 130 zemích, prodala 2,9 milionů vozidel v roce 2020 a zaměstnává více než 170 000 lidí. V souladu s výzvami v oblasti životního prostředí je ambicí skupiny Renault dosáhnout uhlíkové neutrality v Evropě do roku 2040. https://</w:t>
      </w:r>
      <w:hyperlink r:id="rId9">
        <w:r>
          <w:rPr>
            <w:sz w:val="16"/>
          </w:rPr>
          <w:t>www.renaultgroup.com/</w:t>
        </w:r>
      </w:hyperlink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16"/>
        </w:rPr>
      </w:pPr>
    </w:p>
    <w:p>
      <w:pPr>
        <w:spacing w:before="0"/>
        <w:ind w:left="140" w:right="0" w:firstLine="0"/>
        <w:jc w:val="left"/>
        <w:rPr>
          <w:sz w:val="18"/>
        </w:rPr>
      </w:pPr>
      <w:r>
        <w:rPr>
          <w:sz w:val="18"/>
        </w:rPr>
        <w:t>Kontakt</w:t>
      </w:r>
    </w:p>
    <w:p>
      <w:pPr>
        <w:spacing w:before="1"/>
        <w:ind w:left="140" w:right="0" w:firstLine="0"/>
        <w:jc w:val="left"/>
        <w:rPr>
          <w:sz w:val="18"/>
        </w:rPr>
      </w:pPr>
      <w:r>
        <w:rPr>
          <w:sz w:val="18"/>
        </w:rPr>
        <w:t>Jitka Skaličková</w:t>
      </w:r>
    </w:p>
    <w:p>
      <w:pPr>
        <w:spacing w:before="0"/>
        <w:ind w:left="180" w:right="0" w:firstLine="0"/>
        <w:jc w:val="left"/>
        <w:rPr>
          <w:sz w:val="18"/>
        </w:rPr>
      </w:pPr>
      <w:r>
        <w:rPr>
          <w:sz w:val="18"/>
        </w:rPr>
        <w:t>+420 602 275 168</w:t>
      </w:r>
    </w:p>
    <w:p>
      <w:pPr>
        <w:spacing w:before="0"/>
        <w:ind w:left="180" w:right="0" w:firstLine="0"/>
        <w:jc w:val="left"/>
        <w:rPr>
          <w:sz w:val="18"/>
        </w:rPr>
      </w:pPr>
      <w:hyperlink r:id="rId10">
        <w:r>
          <w:rPr>
            <w:sz w:val="18"/>
          </w:rPr>
          <w:t>Jitka.skalickova@renault.cz</w:t>
        </w:r>
      </w:hyperlink>
    </w:p>
    <w:sectPr>
      <w:pgSz w:w="11910" w:h="16840"/>
      <w:pgMar w:header="720" w:footer="0" w:top="17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uvelR">
    <w:altName w:val="NouvelR"/>
    <w:charset w:val="0"/>
    <w:family w:val="roman"/>
    <w:pitch w:val="variable"/>
  </w:font>
  <w:font w:name="Read">
    <w:altName w:val="Read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45344">
          <wp:simplePos x="0" y="0"/>
          <wp:positionH relativeFrom="page">
            <wp:posOffset>914400</wp:posOffset>
          </wp:positionH>
          <wp:positionV relativeFrom="page">
            <wp:posOffset>457199</wp:posOffset>
          </wp:positionV>
          <wp:extent cx="971372" cy="439420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1372" cy="439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70.625pt;margin-top:85.629974pt;width:454.35pt;height:1pt;mso-position-horizontal-relative:page;mso-position-vertical-relative:page;z-index:-15770624" filled="true" fillcolor="#000000" stroked="false">
          <v:fill type="solid"/>
          <w10:wrap type="non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60" w:hanging="360"/>
      </w:pPr>
      <w:rPr>
        <w:rFonts w:hint="default" w:ascii="Arial" w:hAnsi="Arial" w:eastAsia="Arial" w:cs="Arial"/>
        <w:w w:val="131"/>
        <w:sz w:val="20"/>
        <w:szCs w:val="20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04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549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394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239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084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6773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7618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ead" w:hAnsi="Read" w:eastAsia="Read" w:cs="Read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Read" w:hAnsi="Read" w:eastAsia="Read" w:cs="Read"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222"/>
      <w:ind w:left="140" w:right="2398"/>
    </w:pPr>
    <w:rPr>
      <w:rFonts w:ascii="NouvelR" w:hAnsi="NouvelR" w:eastAsia="NouvelR" w:cs="NouvelR"/>
      <w:b/>
      <w:bCs/>
      <w:sz w:val="40"/>
      <w:szCs w:val="4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29"/>
      <w:ind w:left="860" w:hanging="360"/>
    </w:pPr>
    <w:rPr>
      <w:rFonts w:ascii="Read" w:hAnsi="Read" w:eastAsia="Read" w:cs="Read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renaultgroup.com/" TargetMode="External"/><Relationship Id="rId10" Type="http://schemas.openxmlformats.org/officeDocument/2006/relationships/hyperlink" Target="mailto:Jitka.skalickova@renault.cz" TargetMode="External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DUMONCEAU-COSTES Delphine</dc:creator>
  <dcterms:created xsi:type="dcterms:W3CDTF">2022-01-18T06:14:20Z</dcterms:created>
  <dcterms:modified xsi:type="dcterms:W3CDTF">2022-01-18T06:14:20Z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2022-01-18T00:00:00Z</vt:filetime>
  </property>
</Properties>
</file>