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04" w:lineRule="auto"/>
      </w:pPr>
      <w:r>
        <w:rPr/>
        <w:drawing>
          <wp:anchor distT="0" distB="0" distL="0" distR="0" allowOverlap="1" layoutInCell="1" locked="0" behindDoc="1" simplePos="0" relativeHeight="487536640">
            <wp:simplePos x="0" y="0"/>
            <wp:positionH relativeFrom="page">
              <wp:posOffset>773031</wp:posOffset>
            </wp:positionH>
            <wp:positionV relativeFrom="page">
              <wp:posOffset>425297</wp:posOffset>
            </wp:positionV>
            <wp:extent cx="6143086" cy="90409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43086" cy="9040993"/>
                    </a:xfrm>
                    <a:prstGeom prst="rect">
                      <a:avLst/>
                    </a:prstGeom>
                  </pic:spPr>
                </pic:pic>
              </a:graphicData>
            </a:graphic>
          </wp:anchor>
        </w:drawing>
      </w:r>
      <w:r>
        <w:rPr/>
        <w:t>TISKOVÉ KOMUNIKÉ</w:t>
      </w:r>
    </w:p>
    <w:p>
      <w:pPr>
        <w:spacing w:before="145"/>
        <w:ind w:left="124" w:right="0" w:firstLine="0"/>
        <w:jc w:val="left"/>
        <w:rPr>
          <w:sz w:val="22"/>
        </w:rPr>
      </w:pPr>
      <w:r>
        <w:rPr>
          <w:sz w:val="22"/>
        </w:rPr>
        <w:t>17/11/2021</w:t>
      </w:r>
    </w:p>
    <w:p>
      <w:pPr>
        <w:pStyle w:val="BodyText"/>
        <w:rPr>
          <w:sz w:val="26"/>
        </w:rPr>
      </w:pPr>
    </w:p>
    <w:p>
      <w:pPr>
        <w:pStyle w:val="BodyText"/>
        <w:spacing w:before="2"/>
        <w:rPr>
          <w:sz w:val="31"/>
        </w:rPr>
      </w:pPr>
    </w:p>
    <w:p>
      <w:pPr>
        <w:spacing w:before="0"/>
        <w:ind w:left="140" w:right="804" w:firstLine="0"/>
        <w:jc w:val="left"/>
        <w:rPr>
          <w:b/>
          <w:sz w:val="30"/>
        </w:rPr>
      </w:pPr>
      <w:r>
        <w:rPr>
          <w:b/>
          <w:sz w:val="30"/>
        </w:rPr>
        <w:t>NOVÝ RENAULT KANGOO VAN ZÍSKÁVÁ CENU MEZINÁRODNÍ DODÁVKA ROKU 2022 (INTERNATIONAL VAN OF THE YEAR 2022 )</w:t>
      </w:r>
    </w:p>
    <w:p>
      <w:pPr>
        <w:pStyle w:val="Heading1"/>
        <w:numPr>
          <w:ilvl w:val="0"/>
          <w:numId w:val="1"/>
        </w:numPr>
        <w:tabs>
          <w:tab w:pos="860" w:val="left" w:leader="none"/>
          <w:tab w:pos="861" w:val="left" w:leader="none"/>
        </w:tabs>
        <w:spacing w:line="240" w:lineRule="auto" w:before="238" w:after="0"/>
        <w:ind w:left="860" w:right="0" w:hanging="361"/>
        <w:jc w:val="left"/>
      </w:pPr>
      <w:r>
        <w:rPr/>
        <w:t>Nový</w:t>
      </w:r>
      <w:r>
        <w:rPr>
          <w:spacing w:val="-4"/>
        </w:rPr>
        <w:t> </w:t>
      </w:r>
      <w:r>
        <w:rPr/>
        <w:t>Renault</w:t>
      </w:r>
      <w:r>
        <w:rPr>
          <w:spacing w:val="-1"/>
        </w:rPr>
        <w:t> </w:t>
      </w:r>
      <w:r>
        <w:rPr/>
        <w:t>Kangoo</w:t>
      </w:r>
      <w:r>
        <w:rPr>
          <w:spacing w:val="-4"/>
        </w:rPr>
        <w:t> </w:t>
      </w:r>
      <w:r>
        <w:rPr/>
        <w:t>Van byl</w:t>
      </w:r>
      <w:r>
        <w:rPr>
          <w:spacing w:val="-1"/>
        </w:rPr>
        <w:t> </w:t>
      </w:r>
      <w:r>
        <w:rPr/>
        <w:t>porotou</w:t>
      </w:r>
      <w:r>
        <w:rPr>
          <w:spacing w:val="1"/>
        </w:rPr>
        <w:t> </w:t>
      </w:r>
      <w:r>
        <w:rPr/>
        <w:t>složenou</w:t>
      </w:r>
      <w:r>
        <w:rPr>
          <w:spacing w:val="-3"/>
        </w:rPr>
        <w:t> </w:t>
      </w:r>
      <w:r>
        <w:rPr/>
        <w:t>z</w:t>
      </w:r>
      <w:r>
        <w:rPr>
          <w:spacing w:val="-3"/>
        </w:rPr>
        <w:t> </w:t>
      </w:r>
      <w:r>
        <w:rPr/>
        <w:t>24</w:t>
      </w:r>
      <w:r>
        <w:rPr>
          <w:spacing w:val="-1"/>
        </w:rPr>
        <w:t> </w:t>
      </w:r>
      <w:r>
        <w:rPr/>
        <w:t>evropských</w:t>
      </w:r>
      <w:r>
        <w:rPr>
          <w:spacing w:val="-4"/>
        </w:rPr>
        <w:t> </w:t>
      </w:r>
      <w:r>
        <w:rPr/>
        <w:t>novinářů</w:t>
      </w:r>
      <w:r>
        <w:rPr>
          <w:spacing w:val="-2"/>
        </w:rPr>
        <w:t> </w:t>
      </w:r>
      <w:r>
        <w:rPr/>
        <w:t>zvolen</w:t>
      </w:r>
      <w:r>
        <w:rPr>
          <w:spacing w:val="-4"/>
        </w:rPr>
        <w:t> </w:t>
      </w:r>
      <w:r>
        <w:rPr/>
        <w:t>Mezinárodní</w:t>
      </w:r>
    </w:p>
    <w:p>
      <w:pPr>
        <w:spacing w:before="0"/>
        <w:ind w:left="860" w:right="0" w:firstLine="0"/>
        <w:jc w:val="left"/>
        <w:rPr>
          <w:b/>
          <w:sz w:val="20"/>
        </w:rPr>
      </w:pPr>
      <w:r>
        <w:rPr>
          <w:b/>
          <w:sz w:val="20"/>
        </w:rPr>
        <w:t>dodávkou roku 2022 (IVOTY).</w:t>
      </w:r>
    </w:p>
    <w:p>
      <w:pPr>
        <w:pStyle w:val="Heading1"/>
        <w:numPr>
          <w:ilvl w:val="0"/>
          <w:numId w:val="1"/>
        </w:numPr>
        <w:tabs>
          <w:tab w:pos="860" w:val="left" w:leader="none"/>
          <w:tab w:pos="861" w:val="left" w:leader="none"/>
        </w:tabs>
        <w:spacing w:line="240" w:lineRule="auto" w:before="0" w:after="0"/>
        <w:ind w:left="860" w:right="652" w:hanging="360"/>
        <w:jc w:val="left"/>
      </w:pPr>
      <w:r>
        <w:rPr/>
        <w:t>Nová</w:t>
      </w:r>
      <w:r>
        <w:rPr>
          <w:spacing w:val="-4"/>
        </w:rPr>
        <w:t> </w:t>
      </w:r>
      <w:r>
        <w:rPr/>
        <w:t>inovativní</w:t>
      </w:r>
      <w:r>
        <w:rPr>
          <w:spacing w:val="-2"/>
        </w:rPr>
        <w:t> </w:t>
      </w:r>
      <w:r>
        <w:rPr/>
        <w:t>dodávka Renault</w:t>
      </w:r>
      <w:r>
        <w:rPr>
          <w:spacing w:val="-2"/>
        </w:rPr>
        <w:t> </w:t>
      </w:r>
      <w:r>
        <w:rPr/>
        <w:t>byla</w:t>
      </w:r>
      <w:r>
        <w:rPr>
          <w:spacing w:val="-4"/>
        </w:rPr>
        <w:t> </w:t>
      </w:r>
      <w:r>
        <w:rPr/>
        <w:t>oceněna</w:t>
      </w:r>
      <w:r>
        <w:rPr>
          <w:spacing w:val="-3"/>
        </w:rPr>
        <w:t> </w:t>
      </w:r>
      <w:r>
        <w:rPr/>
        <w:t>jako</w:t>
      </w:r>
      <w:r>
        <w:rPr>
          <w:spacing w:val="-4"/>
        </w:rPr>
        <w:t> </w:t>
      </w:r>
      <w:r>
        <w:rPr/>
        <w:t>nejlepší</w:t>
      </w:r>
      <w:r>
        <w:rPr>
          <w:spacing w:val="-1"/>
        </w:rPr>
        <w:t> </w:t>
      </w:r>
      <w:r>
        <w:rPr/>
        <w:t>volba</w:t>
      </w:r>
      <w:r>
        <w:rPr>
          <w:spacing w:val="-4"/>
        </w:rPr>
        <w:t> </w:t>
      </w:r>
      <w:r>
        <w:rPr/>
        <w:t>ze</w:t>
      </w:r>
      <w:r>
        <w:rPr>
          <w:spacing w:val="-3"/>
        </w:rPr>
        <w:t> </w:t>
      </w:r>
      <w:r>
        <w:rPr/>
        <w:t>14</w:t>
      </w:r>
      <w:r>
        <w:rPr>
          <w:spacing w:val="-1"/>
        </w:rPr>
        <w:t> </w:t>
      </w:r>
      <w:r>
        <w:rPr/>
        <w:t>lehkých</w:t>
      </w:r>
      <w:r>
        <w:rPr>
          <w:spacing w:val="-5"/>
        </w:rPr>
        <w:t> </w:t>
      </w:r>
      <w:r>
        <w:rPr/>
        <w:t>užitkových vozidel uvedených na trh v posledních 12</w:t>
      </w:r>
      <w:r>
        <w:rPr>
          <w:spacing w:val="-13"/>
        </w:rPr>
        <w:t> </w:t>
      </w:r>
      <w:r>
        <w:rPr/>
        <w:t>měsících.</w:t>
      </w:r>
    </w:p>
    <w:p>
      <w:pPr>
        <w:pStyle w:val="ListParagraph"/>
        <w:numPr>
          <w:ilvl w:val="0"/>
          <w:numId w:val="1"/>
        </w:numPr>
        <w:tabs>
          <w:tab w:pos="860" w:val="left" w:leader="none"/>
          <w:tab w:pos="861" w:val="left" w:leader="none"/>
        </w:tabs>
        <w:spacing w:line="240" w:lineRule="exact" w:before="0" w:after="0"/>
        <w:ind w:left="860" w:right="0" w:hanging="361"/>
        <w:jc w:val="left"/>
        <w:rPr>
          <w:b/>
          <w:sz w:val="20"/>
        </w:rPr>
      </w:pPr>
      <w:r>
        <w:rPr>
          <w:b/>
          <w:sz w:val="20"/>
        </w:rPr>
        <w:t>Díky</w:t>
      </w:r>
      <w:r>
        <w:rPr>
          <w:b/>
          <w:spacing w:val="-3"/>
          <w:sz w:val="20"/>
        </w:rPr>
        <w:t> </w:t>
      </w:r>
      <w:r>
        <w:rPr>
          <w:b/>
          <w:sz w:val="20"/>
        </w:rPr>
        <w:t>bočnímu</w:t>
      </w:r>
      <w:r>
        <w:rPr>
          <w:b/>
          <w:spacing w:val="-2"/>
          <w:sz w:val="20"/>
        </w:rPr>
        <w:t> </w:t>
      </w:r>
      <w:r>
        <w:rPr>
          <w:b/>
          <w:sz w:val="20"/>
        </w:rPr>
        <w:t>otevírání</w:t>
      </w:r>
      <w:r>
        <w:rPr>
          <w:b/>
          <w:spacing w:val="-1"/>
          <w:sz w:val="20"/>
        </w:rPr>
        <w:t> </w:t>
      </w:r>
      <w:r>
        <w:rPr>
          <w:b/>
          <w:sz w:val="20"/>
        </w:rPr>
        <w:t>"Open</w:t>
      </w:r>
      <w:r>
        <w:rPr>
          <w:b/>
          <w:spacing w:val="-3"/>
          <w:sz w:val="20"/>
        </w:rPr>
        <w:t> </w:t>
      </w:r>
      <w:r>
        <w:rPr>
          <w:b/>
          <w:sz w:val="20"/>
        </w:rPr>
        <w:t>Sesame</w:t>
      </w:r>
      <w:r>
        <w:rPr>
          <w:b/>
          <w:spacing w:val="-2"/>
          <w:sz w:val="20"/>
        </w:rPr>
        <w:t> </w:t>
      </w:r>
      <w:r>
        <w:rPr>
          <w:b/>
          <w:sz w:val="20"/>
        </w:rPr>
        <w:t>by</w:t>
      </w:r>
      <w:r>
        <w:rPr>
          <w:b/>
          <w:spacing w:val="-3"/>
          <w:sz w:val="20"/>
        </w:rPr>
        <w:t> </w:t>
      </w:r>
      <w:r>
        <w:rPr>
          <w:b/>
          <w:sz w:val="20"/>
        </w:rPr>
        <w:t>Renault",</w:t>
      </w:r>
      <w:r>
        <w:rPr>
          <w:b/>
          <w:spacing w:val="-1"/>
          <w:sz w:val="20"/>
        </w:rPr>
        <w:t> </w:t>
      </w:r>
      <w:r>
        <w:rPr>
          <w:b/>
          <w:sz w:val="20"/>
        </w:rPr>
        <w:t>které</w:t>
      </w:r>
      <w:r>
        <w:rPr>
          <w:b/>
          <w:spacing w:val="-2"/>
          <w:sz w:val="20"/>
        </w:rPr>
        <w:t> </w:t>
      </w:r>
      <w:r>
        <w:rPr>
          <w:b/>
          <w:sz w:val="20"/>
        </w:rPr>
        <w:t>umožňuje</w:t>
      </w:r>
      <w:r>
        <w:rPr>
          <w:b/>
          <w:spacing w:val="-1"/>
          <w:sz w:val="20"/>
        </w:rPr>
        <w:t> </w:t>
      </w:r>
      <w:r>
        <w:rPr>
          <w:b/>
          <w:sz w:val="20"/>
        </w:rPr>
        <w:t>přístup</w:t>
      </w:r>
      <w:r>
        <w:rPr>
          <w:b/>
          <w:spacing w:val="-3"/>
          <w:sz w:val="20"/>
        </w:rPr>
        <w:t> </w:t>
      </w:r>
      <w:r>
        <w:rPr>
          <w:b/>
          <w:sz w:val="20"/>
        </w:rPr>
        <w:t>do</w:t>
      </w:r>
      <w:r>
        <w:rPr>
          <w:b/>
          <w:spacing w:val="-3"/>
          <w:sz w:val="20"/>
        </w:rPr>
        <w:t> </w:t>
      </w:r>
      <w:r>
        <w:rPr>
          <w:b/>
          <w:sz w:val="20"/>
        </w:rPr>
        <w:t>vozu</w:t>
      </w:r>
      <w:r>
        <w:rPr>
          <w:b/>
          <w:spacing w:val="-2"/>
          <w:sz w:val="20"/>
        </w:rPr>
        <w:t> </w:t>
      </w:r>
      <w:r>
        <w:rPr>
          <w:b/>
          <w:sz w:val="20"/>
        </w:rPr>
        <w:t>o</w:t>
      </w:r>
      <w:r>
        <w:rPr>
          <w:b/>
          <w:spacing w:val="1"/>
          <w:sz w:val="20"/>
        </w:rPr>
        <w:t> </w:t>
      </w:r>
      <w:r>
        <w:rPr>
          <w:b/>
          <w:sz w:val="20"/>
        </w:rPr>
        <w:t>šířce</w:t>
      </w:r>
      <w:r>
        <w:rPr>
          <w:b/>
          <w:spacing w:val="-1"/>
          <w:sz w:val="20"/>
        </w:rPr>
        <w:t> </w:t>
      </w:r>
      <w:r>
        <w:rPr>
          <w:b/>
          <w:sz w:val="20"/>
        </w:rPr>
        <w:t>1,45</w:t>
      </w:r>
      <w:r>
        <w:rPr>
          <w:b/>
          <w:spacing w:val="-1"/>
          <w:sz w:val="20"/>
        </w:rPr>
        <w:t> </w:t>
      </w:r>
      <w:r>
        <w:rPr>
          <w:b/>
          <w:sz w:val="20"/>
        </w:rPr>
        <w:t>m,</w:t>
      </w:r>
    </w:p>
    <w:p>
      <w:pPr>
        <w:pStyle w:val="Heading1"/>
        <w:ind w:left="839" w:right="857"/>
        <w:jc w:val="center"/>
      </w:pPr>
      <w:r>
        <w:rPr/>
        <w:t>nabízí nový Kangoo Van užitečnou a chytrou inovaci, která dosud nebyla na trhu k vidění.</w:t>
      </w:r>
    </w:p>
    <w:p>
      <w:pPr>
        <w:pStyle w:val="ListParagraph"/>
        <w:numPr>
          <w:ilvl w:val="0"/>
          <w:numId w:val="1"/>
        </w:numPr>
        <w:tabs>
          <w:tab w:pos="359" w:val="left" w:leader="none"/>
          <w:tab w:pos="861" w:val="left" w:leader="none"/>
        </w:tabs>
        <w:spacing w:line="240" w:lineRule="auto" w:before="0" w:after="0"/>
        <w:ind w:left="860" w:right="91" w:hanging="861"/>
        <w:jc w:val="left"/>
        <w:rPr>
          <w:b/>
          <w:sz w:val="20"/>
        </w:rPr>
      </w:pPr>
      <w:r>
        <w:rPr>
          <w:b/>
          <w:sz w:val="20"/>
        </w:rPr>
        <w:t>Nový</w:t>
      </w:r>
      <w:r>
        <w:rPr>
          <w:b/>
          <w:spacing w:val="-4"/>
          <w:sz w:val="20"/>
        </w:rPr>
        <w:t> </w:t>
      </w:r>
      <w:r>
        <w:rPr>
          <w:b/>
          <w:sz w:val="20"/>
        </w:rPr>
        <w:t>Kangoo</w:t>
      </w:r>
      <w:r>
        <w:rPr>
          <w:b/>
          <w:spacing w:val="-4"/>
          <w:sz w:val="20"/>
        </w:rPr>
        <w:t> </w:t>
      </w:r>
      <w:r>
        <w:rPr>
          <w:b/>
          <w:sz w:val="20"/>
        </w:rPr>
        <w:t>Van</w:t>
      </w:r>
      <w:r>
        <w:rPr>
          <w:b/>
          <w:spacing w:val="1"/>
          <w:sz w:val="20"/>
        </w:rPr>
        <w:t> </w:t>
      </w:r>
      <w:r>
        <w:rPr>
          <w:b/>
          <w:sz w:val="20"/>
        </w:rPr>
        <w:t>se</w:t>
      </w:r>
      <w:r>
        <w:rPr>
          <w:b/>
          <w:spacing w:val="-2"/>
          <w:sz w:val="20"/>
        </w:rPr>
        <w:t> </w:t>
      </w:r>
      <w:r>
        <w:rPr>
          <w:b/>
          <w:sz w:val="20"/>
        </w:rPr>
        <w:t>vyrábí</w:t>
      </w:r>
      <w:r>
        <w:rPr>
          <w:b/>
          <w:spacing w:val="-1"/>
          <w:sz w:val="20"/>
        </w:rPr>
        <w:t> </w:t>
      </w:r>
      <w:r>
        <w:rPr>
          <w:b/>
          <w:sz w:val="20"/>
        </w:rPr>
        <w:t>ve</w:t>
      </w:r>
      <w:r>
        <w:rPr>
          <w:b/>
          <w:spacing w:val="-1"/>
          <w:sz w:val="20"/>
        </w:rPr>
        <w:t> </w:t>
      </w:r>
      <w:r>
        <w:rPr>
          <w:b/>
          <w:sz w:val="20"/>
        </w:rPr>
        <w:t>Francii</w:t>
      </w:r>
      <w:r>
        <w:rPr>
          <w:b/>
          <w:spacing w:val="-1"/>
          <w:sz w:val="20"/>
        </w:rPr>
        <w:t> </w:t>
      </w:r>
      <w:r>
        <w:rPr>
          <w:b/>
          <w:sz w:val="20"/>
        </w:rPr>
        <w:t>v</w:t>
      </w:r>
      <w:r>
        <w:rPr>
          <w:b/>
          <w:spacing w:val="-3"/>
          <w:sz w:val="20"/>
        </w:rPr>
        <w:t> </w:t>
      </w:r>
      <w:r>
        <w:rPr>
          <w:b/>
          <w:sz w:val="20"/>
        </w:rPr>
        <w:t>továrně</w:t>
      </w:r>
      <w:r>
        <w:rPr>
          <w:b/>
          <w:spacing w:val="-1"/>
          <w:sz w:val="20"/>
        </w:rPr>
        <w:t> </w:t>
      </w:r>
      <w:r>
        <w:rPr>
          <w:b/>
          <w:sz w:val="20"/>
        </w:rPr>
        <w:t>Renault</w:t>
      </w:r>
      <w:r>
        <w:rPr>
          <w:b/>
          <w:spacing w:val="-1"/>
          <w:sz w:val="20"/>
        </w:rPr>
        <w:t> </w:t>
      </w:r>
      <w:r>
        <w:rPr>
          <w:b/>
          <w:sz w:val="20"/>
        </w:rPr>
        <w:t>v</w:t>
      </w:r>
      <w:r>
        <w:rPr>
          <w:b/>
          <w:spacing w:val="-2"/>
          <w:sz w:val="20"/>
        </w:rPr>
        <w:t> </w:t>
      </w:r>
      <w:r>
        <w:rPr>
          <w:b/>
          <w:sz w:val="20"/>
        </w:rPr>
        <w:t>Maubeuge,</w:t>
      </w:r>
      <w:r>
        <w:rPr>
          <w:b/>
          <w:spacing w:val="-1"/>
          <w:sz w:val="20"/>
        </w:rPr>
        <w:t> </w:t>
      </w:r>
      <w:r>
        <w:rPr>
          <w:b/>
          <w:sz w:val="20"/>
        </w:rPr>
        <w:t>která</w:t>
      </w:r>
      <w:r>
        <w:rPr>
          <w:b/>
          <w:spacing w:val="-3"/>
          <w:sz w:val="20"/>
        </w:rPr>
        <w:t> </w:t>
      </w:r>
      <w:r>
        <w:rPr>
          <w:b/>
          <w:sz w:val="20"/>
        </w:rPr>
        <w:t>se</w:t>
      </w:r>
      <w:r>
        <w:rPr>
          <w:b/>
          <w:spacing w:val="-1"/>
          <w:sz w:val="20"/>
        </w:rPr>
        <w:t> </w:t>
      </w:r>
      <w:r>
        <w:rPr>
          <w:b/>
          <w:sz w:val="20"/>
        </w:rPr>
        <w:t>stala</w:t>
      </w:r>
      <w:r>
        <w:rPr>
          <w:b/>
          <w:spacing w:val="-3"/>
          <w:sz w:val="20"/>
        </w:rPr>
        <w:t> </w:t>
      </w:r>
      <w:r>
        <w:rPr>
          <w:b/>
          <w:sz w:val="20"/>
        </w:rPr>
        <w:t>značkou</w:t>
      </w:r>
    </w:p>
    <w:p>
      <w:pPr>
        <w:pStyle w:val="Heading1"/>
        <w:ind w:left="839" w:right="8042"/>
        <w:jc w:val="center"/>
      </w:pPr>
      <w:r>
        <w:rPr/>
        <w:t>dokonalosti.</w:t>
      </w:r>
    </w:p>
    <w:p>
      <w:pPr>
        <w:pStyle w:val="BodyText"/>
        <w:rPr>
          <w:b/>
          <w:sz w:val="24"/>
        </w:rPr>
      </w:pPr>
    </w:p>
    <w:p>
      <w:pPr>
        <w:pStyle w:val="BodyText"/>
        <w:rPr>
          <w:b/>
          <w:sz w:val="24"/>
        </w:rPr>
      </w:pPr>
    </w:p>
    <w:p>
      <w:pPr>
        <w:pStyle w:val="BodyText"/>
        <w:rPr>
          <w:b/>
          <w:sz w:val="24"/>
        </w:rPr>
      </w:pPr>
    </w:p>
    <w:p>
      <w:pPr>
        <w:pStyle w:val="BodyText"/>
        <w:spacing w:before="1"/>
        <w:rPr>
          <w:b/>
          <w:sz w:val="28"/>
        </w:rPr>
      </w:pPr>
    </w:p>
    <w:p>
      <w:pPr>
        <w:pStyle w:val="BodyText"/>
        <w:ind w:left="140" w:right="94"/>
      </w:pPr>
      <w:r>
        <w:rPr/>
        <w:t>Na veletrhu Solutrans v Lyonu předal pan Jarlath Sweeney, předseda poroty IVOTY cenu International Van Of The Year 2022 pro vůz Nový Kangoo Van Marku Sutcliffovi, řediteli divize užitkových vozidel skupiny Renault. Celoevropská porota, složená z 24 novinářů s odbornými znalostmi v oblasti užitkových, průmyslových a dopravních vozidel, zařadila nejnovější dodávku Renault na první místo v seznamu 14 lehkých užitkových vozidel 11 různých značek uvedených na trh v posledních měsících.</w:t>
      </w:r>
    </w:p>
    <w:p>
      <w:pPr>
        <w:pStyle w:val="BodyText"/>
      </w:pPr>
    </w:p>
    <w:p>
      <w:pPr>
        <w:pStyle w:val="BodyText"/>
        <w:ind w:left="140" w:right="804"/>
      </w:pPr>
      <w:r>
        <w:rPr/>
        <w:t>Pro porotu IVOTY je hlavním kritériem pro udělení ceny přínos pro standardy segmentu lehkých užitkových vozidel v oblasti efektivity, bezpečnosti, udržitelnosti a ekologických standardů.</w:t>
      </w:r>
    </w:p>
    <w:p>
      <w:pPr>
        <w:pStyle w:val="BodyText"/>
        <w:spacing w:line="240" w:lineRule="exact" w:before="1"/>
        <w:ind w:left="140"/>
      </w:pPr>
      <w:r>
        <w:rPr/>
        <w:t>Renault získal ocenění IVOTY již počtvrté, a to po modelech Master v roce 1998, Trafic v roce 2002 a</w:t>
      </w:r>
    </w:p>
    <w:p>
      <w:pPr>
        <w:pStyle w:val="BodyText"/>
        <w:ind w:left="140"/>
      </w:pPr>
      <w:r>
        <w:rPr/>
        <w:t>Kangoo Z.E. v roce 2012.</w:t>
      </w:r>
    </w:p>
    <w:p>
      <w:pPr>
        <w:pStyle w:val="BodyText"/>
        <w:spacing w:before="4"/>
      </w:pPr>
    </w:p>
    <w:p>
      <w:pPr>
        <w:pStyle w:val="Heading1"/>
        <w:spacing w:line="235" w:lineRule="exact"/>
        <w:ind w:left="140"/>
      </w:pPr>
      <w:r>
        <w:rPr/>
        <w:t>Mark Sutcliffe, viceprezident pro oblast užitkových vozidel, skupina Renault</w:t>
      </w:r>
    </w:p>
    <w:p>
      <w:pPr>
        <w:spacing w:line="228" w:lineRule="auto" w:before="5"/>
        <w:ind w:left="140" w:right="0" w:firstLine="0"/>
        <w:jc w:val="left"/>
        <w:rPr>
          <w:sz w:val="21"/>
        </w:rPr>
      </w:pPr>
      <w:r>
        <w:rPr>
          <w:sz w:val="21"/>
        </w:rPr>
        <w:t>«</w:t>
      </w:r>
      <w:r>
        <w:rPr>
          <w:spacing w:val="-23"/>
          <w:sz w:val="21"/>
        </w:rPr>
        <w:t> </w:t>
      </w:r>
      <w:r>
        <w:rPr>
          <w:sz w:val="21"/>
        </w:rPr>
        <w:t>Rád</w:t>
      </w:r>
      <w:r>
        <w:rPr>
          <w:spacing w:val="-23"/>
          <w:sz w:val="21"/>
        </w:rPr>
        <w:t> </w:t>
      </w:r>
      <w:r>
        <w:rPr>
          <w:sz w:val="21"/>
        </w:rPr>
        <w:t>bych</w:t>
      </w:r>
      <w:r>
        <w:rPr>
          <w:spacing w:val="-24"/>
          <w:sz w:val="21"/>
        </w:rPr>
        <w:t> </w:t>
      </w:r>
      <w:r>
        <w:rPr>
          <w:sz w:val="21"/>
        </w:rPr>
        <w:t>poděkoval</w:t>
      </w:r>
      <w:r>
        <w:rPr>
          <w:spacing w:val="-23"/>
          <w:sz w:val="21"/>
        </w:rPr>
        <w:t> </w:t>
      </w:r>
      <w:r>
        <w:rPr>
          <w:sz w:val="21"/>
        </w:rPr>
        <w:t>celé</w:t>
      </w:r>
      <w:r>
        <w:rPr>
          <w:spacing w:val="-24"/>
          <w:sz w:val="21"/>
        </w:rPr>
        <w:t> </w:t>
      </w:r>
      <w:r>
        <w:rPr>
          <w:sz w:val="21"/>
        </w:rPr>
        <w:t>evropské</w:t>
      </w:r>
      <w:r>
        <w:rPr>
          <w:spacing w:val="-23"/>
          <w:sz w:val="21"/>
        </w:rPr>
        <w:t> </w:t>
      </w:r>
      <w:r>
        <w:rPr>
          <w:sz w:val="21"/>
        </w:rPr>
        <w:t>porotě</w:t>
      </w:r>
      <w:r>
        <w:rPr>
          <w:spacing w:val="-24"/>
          <w:sz w:val="21"/>
        </w:rPr>
        <w:t> </w:t>
      </w:r>
      <w:r>
        <w:rPr>
          <w:sz w:val="21"/>
        </w:rPr>
        <w:t>za</w:t>
      </w:r>
      <w:r>
        <w:rPr>
          <w:spacing w:val="-23"/>
          <w:sz w:val="21"/>
        </w:rPr>
        <w:t> </w:t>
      </w:r>
      <w:r>
        <w:rPr>
          <w:sz w:val="21"/>
        </w:rPr>
        <w:t>to,</w:t>
      </w:r>
      <w:r>
        <w:rPr>
          <w:spacing w:val="-25"/>
          <w:sz w:val="21"/>
        </w:rPr>
        <w:t> </w:t>
      </w:r>
      <w:r>
        <w:rPr>
          <w:sz w:val="21"/>
        </w:rPr>
        <w:t>že</w:t>
      </w:r>
      <w:r>
        <w:rPr>
          <w:spacing w:val="-23"/>
          <w:sz w:val="21"/>
        </w:rPr>
        <w:t> </w:t>
      </w:r>
      <w:r>
        <w:rPr>
          <w:sz w:val="21"/>
        </w:rPr>
        <w:t>zvolila</w:t>
      </w:r>
      <w:r>
        <w:rPr>
          <w:spacing w:val="-23"/>
          <w:sz w:val="21"/>
        </w:rPr>
        <w:t> </w:t>
      </w:r>
      <w:r>
        <w:rPr>
          <w:sz w:val="21"/>
        </w:rPr>
        <w:t>Nový</w:t>
      </w:r>
      <w:r>
        <w:rPr>
          <w:spacing w:val="-23"/>
          <w:sz w:val="21"/>
        </w:rPr>
        <w:t> </w:t>
      </w:r>
      <w:r>
        <w:rPr>
          <w:sz w:val="21"/>
        </w:rPr>
        <w:t>Renault</w:t>
      </w:r>
      <w:r>
        <w:rPr>
          <w:spacing w:val="-22"/>
          <w:sz w:val="21"/>
        </w:rPr>
        <w:t> </w:t>
      </w:r>
      <w:r>
        <w:rPr>
          <w:sz w:val="21"/>
        </w:rPr>
        <w:t>Kangoo</w:t>
      </w:r>
      <w:r>
        <w:rPr>
          <w:spacing w:val="-24"/>
          <w:sz w:val="21"/>
        </w:rPr>
        <w:t> </w:t>
      </w:r>
      <w:r>
        <w:rPr>
          <w:sz w:val="21"/>
        </w:rPr>
        <w:t>Van</w:t>
      </w:r>
      <w:r>
        <w:rPr>
          <w:spacing w:val="-23"/>
          <w:sz w:val="21"/>
        </w:rPr>
        <w:t> </w:t>
      </w:r>
      <w:r>
        <w:rPr>
          <w:sz w:val="21"/>
        </w:rPr>
        <w:t>"Mezinárodní </w:t>
      </w:r>
      <w:r>
        <w:rPr>
          <w:w w:val="95"/>
          <w:sz w:val="21"/>
        </w:rPr>
        <w:t>dodávkou roku 2022". Toto ocenění, kterému Renault přikládá velký význam, je pro naše týmy velkým zdrojem hrdosti. Je odměnou za jejich snahu navrhnout a vyrobit dodávku podle nejvyšších standardů </w:t>
      </w:r>
      <w:r>
        <w:rPr>
          <w:sz w:val="21"/>
        </w:rPr>
        <w:t>kvality, jejíž na trhu jedinečné inovace byly navrženy tak, aby usnadnily každodenní život našich </w:t>
      </w:r>
      <w:r>
        <w:rPr>
          <w:w w:val="95"/>
          <w:sz w:val="21"/>
        </w:rPr>
        <w:t>profesionálních zákazníků. Toto prestižní ocenění je dalším uznáním inovativního ducha a know-how </w:t>
      </w:r>
      <w:r>
        <w:rPr>
          <w:sz w:val="21"/>
        </w:rPr>
        <w:t>společnosti</w:t>
      </w:r>
      <w:r>
        <w:rPr>
          <w:spacing w:val="-18"/>
          <w:sz w:val="21"/>
        </w:rPr>
        <w:t> </w:t>
      </w:r>
      <w:r>
        <w:rPr>
          <w:sz w:val="21"/>
        </w:rPr>
        <w:t>Renault</w:t>
      </w:r>
      <w:r>
        <w:rPr>
          <w:spacing w:val="-16"/>
          <w:sz w:val="21"/>
        </w:rPr>
        <w:t> </w:t>
      </w:r>
      <w:r>
        <w:rPr>
          <w:sz w:val="21"/>
        </w:rPr>
        <w:t>v</w:t>
      </w:r>
      <w:r>
        <w:rPr>
          <w:spacing w:val="-17"/>
          <w:sz w:val="21"/>
        </w:rPr>
        <w:t> </w:t>
      </w:r>
      <w:r>
        <w:rPr>
          <w:sz w:val="21"/>
        </w:rPr>
        <w:t>segmentu</w:t>
      </w:r>
      <w:r>
        <w:rPr>
          <w:spacing w:val="-16"/>
          <w:sz w:val="21"/>
        </w:rPr>
        <w:t> </w:t>
      </w:r>
      <w:r>
        <w:rPr>
          <w:sz w:val="21"/>
        </w:rPr>
        <w:t>lehkých</w:t>
      </w:r>
      <w:r>
        <w:rPr>
          <w:spacing w:val="-17"/>
          <w:sz w:val="21"/>
        </w:rPr>
        <w:t> </w:t>
      </w:r>
      <w:r>
        <w:rPr>
          <w:sz w:val="21"/>
        </w:rPr>
        <w:t>užitkových</w:t>
      </w:r>
      <w:r>
        <w:rPr>
          <w:spacing w:val="-17"/>
          <w:sz w:val="21"/>
        </w:rPr>
        <w:t> </w:t>
      </w:r>
      <w:r>
        <w:rPr>
          <w:sz w:val="21"/>
        </w:rPr>
        <w:t>vozidel,</w:t>
      </w:r>
      <w:r>
        <w:rPr>
          <w:spacing w:val="-15"/>
          <w:sz w:val="21"/>
        </w:rPr>
        <w:t> </w:t>
      </w:r>
      <w:r>
        <w:rPr>
          <w:sz w:val="21"/>
        </w:rPr>
        <w:t>které</w:t>
      </w:r>
      <w:r>
        <w:rPr>
          <w:spacing w:val="-18"/>
          <w:sz w:val="21"/>
        </w:rPr>
        <w:t> </w:t>
      </w:r>
      <w:r>
        <w:rPr>
          <w:sz w:val="21"/>
        </w:rPr>
        <w:t>má</w:t>
      </w:r>
      <w:r>
        <w:rPr>
          <w:spacing w:val="-15"/>
          <w:sz w:val="21"/>
        </w:rPr>
        <w:t> </w:t>
      </w:r>
      <w:r>
        <w:rPr>
          <w:sz w:val="21"/>
        </w:rPr>
        <w:t>více</w:t>
      </w:r>
      <w:r>
        <w:rPr>
          <w:spacing w:val="-18"/>
          <w:sz w:val="21"/>
        </w:rPr>
        <w:t> </w:t>
      </w:r>
      <w:r>
        <w:rPr>
          <w:sz w:val="21"/>
        </w:rPr>
        <w:t>než</w:t>
      </w:r>
      <w:r>
        <w:rPr>
          <w:spacing w:val="-15"/>
          <w:sz w:val="21"/>
        </w:rPr>
        <w:t> </w:t>
      </w:r>
      <w:r>
        <w:rPr>
          <w:sz w:val="21"/>
        </w:rPr>
        <w:t>120letou</w:t>
      </w:r>
      <w:r>
        <w:rPr>
          <w:spacing w:val="-19"/>
          <w:sz w:val="21"/>
        </w:rPr>
        <w:t> </w:t>
      </w:r>
      <w:r>
        <w:rPr>
          <w:sz w:val="21"/>
        </w:rPr>
        <w:t>tradici.</w:t>
      </w:r>
      <w:r>
        <w:rPr>
          <w:spacing w:val="-13"/>
          <w:sz w:val="21"/>
        </w:rPr>
        <w:t> </w:t>
      </w:r>
      <w:r>
        <w:rPr>
          <w:sz w:val="21"/>
        </w:rPr>
        <w:t>»</w:t>
      </w:r>
    </w:p>
    <w:p>
      <w:pPr>
        <w:spacing w:after="0" w:line="228" w:lineRule="auto"/>
        <w:jc w:val="left"/>
        <w:rPr>
          <w:sz w:val="21"/>
        </w:rPr>
        <w:sectPr>
          <w:footerReference w:type="default" r:id="rId5"/>
          <w:type w:val="continuous"/>
          <w:pgSz w:w="11900" w:h="16820"/>
          <w:pgMar w:footer="1160" w:top="660" w:bottom="1360" w:left="880" w:right="900"/>
          <w:pgNumType w:start="1"/>
        </w:sectPr>
      </w:pPr>
    </w:p>
    <w:p>
      <w:pPr>
        <w:pStyle w:val="BodyText"/>
      </w:pPr>
      <w:r>
        <w:rPr/>
        <w:drawing>
          <wp:anchor distT="0" distB="0" distL="0" distR="0" allowOverlap="1" layoutInCell="1" locked="0" behindDoc="1" simplePos="0" relativeHeight="487537152">
            <wp:simplePos x="0" y="0"/>
            <wp:positionH relativeFrom="page">
              <wp:posOffset>773031</wp:posOffset>
            </wp:positionH>
            <wp:positionV relativeFrom="page">
              <wp:posOffset>432793</wp:posOffset>
            </wp:positionV>
            <wp:extent cx="6143086" cy="903841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143086" cy="9038413"/>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spacing w:before="8"/>
        <w:rPr>
          <w:sz w:val="27"/>
        </w:rPr>
      </w:pPr>
    </w:p>
    <w:p>
      <w:pPr>
        <w:pStyle w:val="Heading1"/>
        <w:spacing w:before="100"/>
        <w:ind w:left="140"/>
      </w:pPr>
      <w:r>
        <w:rPr/>
        <w:t>NOVÝ KANGOO VAN : INOVATIVNÍ DODÁVKA</w:t>
      </w:r>
    </w:p>
    <w:p>
      <w:pPr>
        <w:pStyle w:val="BodyText"/>
        <w:spacing w:line="256" w:lineRule="auto" w:before="13"/>
        <w:ind w:left="140" w:right="374"/>
      </w:pPr>
      <w:r>
        <w:rPr/>
        <w:t>Nový Kangoo Van je určen především náročným vozovým parkům, řemeslníkům a obchodníkům, kteří hledají vozidlo na míru, vybavené nejnovějšími technologiemi a inovacemi pro profesionály. Dodávka s atletickým a dynamickým stylem nabízí :</w:t>
      </w:r>
    </w:p>
    <w:p>
      <w:pPr>
        <w:pStyle w:val="BodyText"/>
        <w:spacing w:before="1"/>
        <w:rPr>
          <w:sz w:val="21"/>
        </w:rPr>
      </w:pPr>
    </w:p>
    <w:p>
      <w:pPr>
        <w:pStyle w:val="ListParagraph"/>
        <w:numPr>
          <w:ilvl w:val="0"/>
          <w:numId w:val="1"/>
        </w:numPr>
        <w:tabs>
          <w:tab w:pos="860" w:val="left" w:leader="none"/>
          <w:tab w:pos="861" w:val="left" w:leader="none"/>
        </w:tabs>
        <w:spacing w:line="256" w:lineRule="auto" w:before="0" w:after="0"/>
        <w:ind w:left="860" w:right="298" w:hanging="360"/>
        <w:jc w:val="left"/>
        <w:rPr>
          <w:sz w:val="20"/>
        </w:rPr>
      </w:pPr>
      <w:r>
        <w:rPr>
          <w:sz w:val="20"/>
        </w:rPr>
        <w:t>Nakládání usnadňuje systém "Open Sesame by Renault", který je významnou inovací a díky absenci prostředního sloupku nabízí nejširší pravostranný přístup na trhu s délkou otvoru 1,45 m. Ale také "Easy Inside Rack", vnitřní střešní nosič, který umožňuje uložit dlouhé předměty pod střechou a bezpečně, aby se lépe využila ložná</w:t>
      </w:r>
      <w:r>
        <w:rPr>
          <w:spacing w:val="4"/>
          <w:sz w:val="20"/>
        </w:rPr>
        <w:t> </w:t>
      </w:r>
      <w:r>
        <w:rPr>
          <w:sz w:val="20"/>
        </w:rPr>
        <w:t>plocha.</w:t>
      </w:r>
    </w:p>
    <w:p>
      <w:pPr>
        <w:pStyle w:val="ListParagraph"/>
        <w:numPr>
          <w:ilvl w:val="0"/>
          <w:numId w:val="1"/>
        </w:numPr>
        <w:tabs>
          <w:tab w:pos="860" w:val="left" w:leader="none"/>
          <w:tab w:pos="861" w:val="left" w:leader="none"/>
        </w:tabs>
        <w:spacing w:line="237" w:lineRule="exact" w:before="0" w:after="0"/>
        <w:ind w:left="860" w:right="0" w:hanging="361"/>
        <w:jc w:val="left"/>
        <w:rPr>
          <w:sz w:val="20"/>
        </w:rPr>
      </w:pPr>
      <w:r>
        <w:rPr>
          <w:sz w:val="20"/>
        </w:rPr>
        <w:t>Mezi</w:t>
      </w:r>
      <w:r>
        <w:rPr>
          <w:spacing w:val="-3"/>
          <w:sz w:val="20"/>
        </w:rPr>
        <w:t> </w:t>
      </w:r>
      <w:r>
        <w:rPr>
          <w:sz w:val="20"/>
        </w:rPr>
        <w:t>přední</w:t>
      </w:r>
      <w:r>
        <w:rPr>
          <w:spacing w:val="-2"/>
          <w:sz w:val="20"/>
        </w:rPr>
        <w:t> </w:t>
      </w:r>
      <w:r>
        <w:rPr>
          <w:sz w:val="20"/>
        </w:rPr>
        <w:t>vlastnosti</w:t>
      </w:r>
      <w:r>
        <w:rPr>
          <w:spacing w:val="-3"/>
          <w:sz w:val="20"/>
        </w:rPr>
        <w:t> </w:t>
      </w:r>
      <w:r>
        <w:rPr>
          <w:sz w:val="20"/>
        </w:rPr>
        <w:t>této</w:t>
      </w:r>
      <w:r>
        <w:rPr>
          <w:spacing w:val="-1"/>
          <w:sz w:val="20"/>
        </w:rPr>
        <w:t> </w:t>
      </w:r>
      <w:r>
        <w:rPr>
          <w:sz w:val="20"/>
        </w:rPr>
        <w:t>třídy</w:t>
      </w:r>
      <w:r>
        <w:rPr>
          <w:spacing w:val="-2"/>
          <w:sz w:val="20"/>
        </w:rPr>
        <w:t> </w:t>
      </w:r>
      <w:r>
        <w:rPr>
          <w:sz w:val="20"/>
        </w:rPr>
        <w:t>patří</w:t>
      </w:r>
      <w:r>
        <w:rPr>
          <w:spacing w:val="-3"/>
          <w:sz w:val="20"/>
        </w:rPr>
        <w:t> </w:t>
      </w:r>
      <w:r>
        <w:rPr>
          <w:sz w:val="20"/>
        </w:rPr>
        <w:t>objem</w:t>
      </w:r>
      <w:r>
        <w:rPr>
          <w:spacing w:val="1"/>
          <w:sz w:val="20"/>
        </w:rPr>
        <w:t> </w:t>
      </w:r>
      <w:r>
        <w:rPr>
          <w:sz w:val="20"/>
        </w:rPr>
        <w:t>nákladového</w:t>
      </w:r>
      <w:r>
        <w:rPr>
          <w:spacing w:val="-1"/>
          <w:sz w:val="20"/>
        </w:rPr>
        <w:t> </w:t>
      </w:r>
      <w:r>
        <w:rPr>
          <w:sz w:val="20"/>
        </w:rPr>
        <w:t>prostoru</w:t>
      </w:r>
      <w:r>
        <w:rPr>
          <w:spacing w:val="-2"/>
          <w:sz w:val="20"/>
        </w:rPr>
        <w:t> </w:t>
      </w:r>
      <w:r>
        <w:rPr>
          <w:sz w:val="20"/>
        </w:rPr>
        <w:t>až</w:t>
      </w:r>
      <w:r>
        <w:rPr>
          <w:spacing w:val="-2"/>
          <w:sz w:val="20"/>
        </w:rPr>
        <w:t> </w:t>
      </w:r>
      <w:r>
        <w:rPr>
          <w:sz w:val="20"/>
        </w:rPr>
        <w:t>3,9</w:t>
      </w:r>
      <w:r>
        <w:rPr>
          <w:spacing w:val="-4"/>
          <w:sz w:val="20"/>
        </w:rPr>
        <w:t> </w:t>
      </w:r>
      <w:r>
        <w:rPr>
          <w:spacing w:val="5"/>
          <w:sz w:val="20"/>
        </w:rPr>
        <w:t>m</w:t>
      </w:r>
      <w:r>
        <w:rPr>
          <w:spacing w:val="5"/>
          <w:sz w:val="20"/>
          <w:vertAlign w:val="superscript"/>
        </w:rPr>
        <w:t>3</w:t>
      </w:r>
      <w:r>
        <w:rPr>
          <w:spacing w:val="-3"/>
          <w:sz w:val="20"/>
          <w:vertAlign w:val="baseline"/>
        </w:rPr>
        <w:t> </w:t>
      </w:r>
      <w:r>
        <w:rPr>
          <w:sz w:val="20"/>
          <w:vertAlign w:val="baseline"/>
        </w:rPr>
        <w:t>ve</w:t>
      </w:r>
      <w:r>
        <w:rPr>
          <w:spacing w:val="-2"/>
          <w:sz w:val="20"/>
          <w:vertAlign w:val="baseline"/>
        </w:rPr>
        <w:t> </w:t>
      </w:r>
      <w:r>
        <w:rPr>
          <w:sz w:val="20"/>
          <w:vertAlign w:val="baseline"/>
        </w:rPr>
        <w:t>standardní</w:t>
      </w:r>
      <w:r>
        <w:rPr>
          <w:spacing w:val="-2"/>
          <w:sz w:val="20"/>
          <w:vertAlign w:val="baseline"/>
        </w:rPr>
        <w:t> </w:t>
      </w:r>
      <w:r>
        <w:rPr>
          <w:sz w:val="20"/>
          <w:vertAlign w:val="baseline"/>
        </w:rPr>
        <w:t>verzi,</w:t>
      </w:r>
    </w:p>
    <w:p>
      <w:pPr>
        <w:pStyle w:val="BodyText"/>
        <w:spacing w:before="17"/>
        <w:ind w:left="860"/>
      </w:pPr>
      <w:r>
        <w:rPr/>
        <w:t>užitečné zatížení 600 kg, které lze na přání zvýšit na 800 kg, a hmotnost přívěsu 1 500 kg.</w:t>
      </w:r>
    </w:p>
    <w:p>
      <w:pPr>
        <w:pStyle w:val="ListParagraph"/>
        <w:numPr>
          <w:ilvl w:val="0"/>
          <w:numId w:val="1"/>
        </w:numPr>
        <w:tabs>
          <w:tab w:pos="860" w:val="left" w:leader="none"/>
          <w:tab w:pos="861" w:val="left" w:leader="none"/>
        </w:tabs>
        <w:spacing w:line="256" w:lineRule="auto" w:before="16" w:after="0"/>
        <w:ind w:left="860" w:right="182" w:hanging="360"/>
        <w:jc w:val="left"/>
        <w:rPr>
          <w:sz w:val="20"/>
        </w:rPr>
      </w:pPr>
      <w:r>
        <w:rPr>
          <w:sz w:val="20"/>
        </w:rPr>
        <w:t>Moderní,</w:t>
      </w:r>
      <w:r>
        <w:rPr>
          <w:spacing w:val="-3"/>
          <w:sz w:val="20"/>
        </w:rPr>
        <w:t> </w:t>
      </w:r>
      <w:r>
        <w:rPr>
          <w:sz w:val="20"/>
        </w:rPr>
        <w:t>propracovaný</w:t>
      </w:r>
      <w:r>
        <w:rPr>
          <w:spacing w:val="-5"/>
          <w:sz w:val="20"/>
        </w:rPr>
        <w:t> </w:t>
      </w:r>
      <w:r>
        <w:rPr>
          <w:sz w:val="20"/>
        </w:rPr>
        <w:t>a</w:t>
      </w:r>
      <w:r>
        <w:rPr>
          <w:spacing w:val="-2"/>
          <w:sz w:val="20"/>
        </w:rPr>
        <w:t> </w:t>
      </w:r>
      <w:r>
        <w:rPr>
          <w:sz w:val="20"/>
        </w:rPr>
        <w:t>ergonomický</w:t>
      </w:r>
      <w:r>
        <w:rPr>
          <w:spacing w:val="-5"/>
          <w:sz w:val="20"/>
        </w:rPr>
        <w:t> </w:t>
      </w:r>
      <w:r>
        <w:rPr>
          <w:sz w:val="20"/>
        </w:rPr>
        <w:t>interiér</w:t>
      </w:r>
      <w:r>
        <w:rPr>
          <w:spacing w:val="-3"/>
          <w:sz w:val="20"/>
        </w:rPr>
        <w:t> </w:t>
      </w:r>
      <w:r>
        <w:rPr>
          <w:sz w:val="20"/>
        </w:rPr>
        <w:t>s</w:t>
      </w:r>
      <w:r>
        <w:rPr>
          <w:spacing w:val="-5"/>
          <w:sz w:val="20"/>
        </w:rPr>
        <w:t> </w:t>
      </w:r>
      <w:r>
        <w:rPr>
          <w:sz w:val="20"/>
        </w:rPr>
        <w:t>vylepšeným</w:t>
      </w:r>
      <w:r>
        <w:rPr>
          <w:spacing w:val="-2"/>
          <w:sz w:val="20"/>
        </w:rPr>
        <w:t> </w:t>
      </w:r>
      <w:r>
        <w:rPr>
          <w:sz w:val="20"/>
        </w:rPr>
        <w:t>tepelným</w:t>
      </w:r>
      <w:r>
        <w:rPr>
          <w:spacing w:val="-2"/>
          <w:sz w:val="20"/>
        </w:rPr>
        <w:t> </w:t>
      </w:r>
      <w:r>
        <w:rPr>
          <w:sz w:val="20"/>
        </w:rPr>
        <w:t>a</w:t>
      </w:r>
      <w:r>
        <w:rPr>
          <w:spacing w:val="-2"/>
          <w:sz w:val="20"/>
        </w:rPr>
        <w:t> </w:t>
      </w:r>
      <w:r>
        <w:rPr>
          <w:sz w:val="20"/>
        </w:rPr>
        <w:t>akustickým</w:t>
      </w:r>
      <w:r>
        <w:rPr>
          <w:spacing w:val="-6"/>
          <w:sz w:val="20"/>
        </w:rPr>
        <w:t> </w:t>
      </w:r>
      <w:r>
        <w:rPr>
          <w:sz w:val="20"/>
        </w:rPr>
        <w:t>komfortem, který nabízí 60 litrů úložného prostoru a možnost usazení až 3 osob v kabině. Tato konfigurace nabízí</w:t>
      </w:r>
      <w:r>
        <w:rPr>
          <w:spacing w:val="-5"/>
          <w:sz w:val="20"/>
        </w:rPr>
        <w:t> </w:t>
      </w:r>
      <w:r>
        <w:rPr>
          <w:sz w:val="20"/>
        </w:rPr>
        <w:t>možnost</w:t>
      </w:r>
      <w:r>
        <w:rPr>
          <w:spacing w:val="-2"/>
          <w:sz w:val="20"/>
        </w:rPr>
        <w:t> </w:t>
      </w:r>
      <w:r>
        <w:rPr>
          <w:sz w:val="20"/>
        </w:rPr>
        <w:t>přeměnit</w:t>
      </w:r>
      <w:r>
        <w:rPr>
          <w:spacing w:val="-3"/>
          <w:sz w:val="20"/>
        </w:rPr>
        <w:t> </w:t>
      </w:r>
      <w:r>
        <w:rPr>
          <w:sz w:val="20"/>
        </w:rPr>
        <w:t>kabinu</w:t>
      </w:r>
      <w:r>
        <w:rPr>
          <w:spacing w:val="-3"/>
          <w:sz w:val="20"/>
        </w:rPr>
        <w:t> </w:t>
      </w:r>
      <w:r>
        <w:rPr>
          <w:sz w:val="20"/>
        </w:rPr>
        <w:t>na</w:t>
      </w:r>
      <w:r>
        <w:rPr>
          <w:spacing w:val="-2"/>
          <w:sz w:val="20"/>
        </w:rPr>
        <w:t> </w:t>
      </w:r>
      <w:r>
        <w:rPr>
          <w:sz w:val="20"/>
        </w:rPr>
        <w:t>skutečnou</w:t>
      </w:r>
      <w:r>
        <w:rPr>
          <w:spacing w:val="-3"/>
          <w:sz w:val="20"/>
        </w:rPr>
        <w:t> </w:t>
      </w:r>
      <w:r>
        <w:rPr>
          <w:sz w:val="20"/>
        </w:rPr>
        <w:t>mobilní</w:t>
      </w:r>
      <w:r>
        <w:rPr>
          <w:spacing w:val="-4"/>
          <w:sz w:val="20"/>
        </w:rPr>
        <w:t> </w:t>
      </w:r>
      <w:r>
        <w:rPr>
          <w:sz w:val="20"/>
        </w:rPr>
        <w:t>kancelář</w:t>
      </w:r>
      <w:r>
        <w:rPr>
          <w:spacing w:val="-3"/>
          <w:sz w:val="20"/>
        </w:rPr>
        <w:t> </w:t>
      </w:r>
      <w:r>
        <w:rPr>
          <w:sz w:val="20"/>
        </w:rPr>
        <w:t>sklopením</w:t>
      </w:r>
      <w:r>
        <w:rPr>
          <w:spacing w:val="-2"/>
          <w:sz w:val="20"/>
        </w:rPr>
        <w:t> </w:t>
      </w:r>
      <w:r>
        <w:rPr>
          <w:sz w:val="20"/>
        </w:rPr>
        <w:t>středového</w:t>
      </w:r>
      <w:r>
        <w:rPr>
          <w:spacing w:val="-3"/>
          <w:sz w:val="20"/>
        </w:rPr>
        <w:t> </w:t>
      </w:r>
      <w:r>
        <w:rPr>
          <w:sz w:val="20"/>
        </w:rPr>
        <w:t>opěradla.</w:t>
      </w:r>
    </w:p>
    <w:p>
      <w:pPr>
        <w:pStyle w:val="ListParagraph"/>
        <w:numPr>
          <w:ilvl w:val="0"/>
          <w:numId w:val="1"/>
        </w:numPr>
        <w:tabs>
          <w:tab w:pos="860" w:val="left" w:leader="none"/>
          <w:tab w:pos="861" w:val="left" w:leader="none"/>
        </w:tabs>
        <w:spacing w:line="225" w:lineRule="exact" w:before="0" w:after="0"/>
        <w:ind w:left="860" w:right="0" w:hanging="361"/>
        <w:jc w:val="left"/>
        <w:rPr>
          <w:sz w:val="20"/>
        </w:rPr>
      </w:pPr>
      <w:r>
        <w:rPr>
          <w:sz w:val="20"/>
        </w:rPr>
        <w:t>Nejmodernější konektivita s novým multimediálním systémem Renault EASY LINK na</w:t>
      </w:r>
      <w:r>
        <w:rPr>
          <w:spacing w:val="-11"/>
          <w:sz w:val="20"/>
        </w:rPr>
        <w:t> </w:t>
      </w:r>
      <w:r>
        <w:rPr>
          <w:sz w:val="20"/>
        </w:rPr>
        <w:t>8palcové</w:t>
      </w:r>
    </w:p>
    <w:p>
      <w:pPr>
        <w:pStyle w:val="BodyText"/>
        <w:ind w:left="860" w:right="451"/>
      </w:pPr>
      <w:r>
        <w:rPr/>
        <w:t>obrazovce, praktickým držákem pro chytré telefony, 15W bezdrátovou nabíječkou, hands-free kartou Renault pro snadný a bezpečný přístup a dvěma USB a dvěma 12voltovými zásuvkami.</w:t>
      </w:r>
    </w:p>
    <w:p>
      <w:pPr>
        <w:pStyle w:val="ListParagraph"/>
        <w:numPr>
          <w:ilvl w:val="0"/>
          <w:numId w:val="1"/>
        </w:numPr>
        <w:tabs>
          <w:tab w:pos="860" w:val="left" w:leader="none"/>
          <w:tab w:pos="861" w:val="left" w:leader="none"/>
        </w:tabs>
        <w:spacing w:line="240" w:lineRule="auto" w:before="0" w:after="0"/>
        <w:ind w:left="860" w:right="160" w:hanging="360"/>
        <w:jc w:val="left"/>
        <w:rPr>
          <w:sz w:val="20"/>
        </w:rPr>
      </w:pPr>
      <w:r>
        <w:rPr>
          <w:sz w:val="20"/>
        </w:rPr>
        <w:t>12 jízdních asistentů nejnovější generace, včetně digitálního zpětného zrcátka Rear View Monitor, aktivního nouzového brzdění, kontroly stability přívěsu a systému Easy Pilot kombinujícího adaptivní tempomat a asistenta pro jízdu v jízdním</w:t>
      </w:r>
      <w:r>
        <w:rPr>
          <w:spacing w:val="-8"/>
          <w:sz w:val="20"/>
        </w:rPr>
        <w:t> </w:t>
      </w:r>
      <w:r>
        <w:rPr>
          <w:sz w:val="20"/>
        </w:rPr>
        <w:t>pruhu.</w:t>
      </w:r>
    </w:p>
    <w:p>
      <w:pPr>
        <w:pStyle w:val="ListParagraph"/>
        <w:numPr>
          <w:ilvl w:val="0"/>
          <w:numId w:val="1"/>
        </w:numPr>
        <w:tabs>
          <w:tab w:pos="860" w:val="left" w:leader="none"/>
          <w:tab w:pos="861" w:val="left" w:leader="none"/>
        </w:tabs>
        <w:spacing w:line="240" w:lineRule="auto" w:before="0" w:after="0"/>
        <w:ind w:left="860" w:right="262" w:hanging="360"/>
        <w:jc w:val="left"/>
        <w:rPr>
          <w:sz w:val="20"/>
        </w:rPr>
      </w:pPr>
      <w:r>
        <w:rPr>
          <w:sz w:val="20"/>
        </w:rPr>
        <w:t>Řada účinných benzinových motorů 1.3 TCe a vznětových motorů 1.5 Blue dCi, které jsou k dispozici se šestistupňovou manuální nebo sedmistupňovou automatickou převodovkou EDC, a dva motory Ecoleader se spotřebou paliva 4,8 l/100 km u vznětového a 6,1 l/100 km u benzinového motoru.</w:t>
      </w:r>
    </w:p>
    <w:p>
      <w:pPr>
        <w:pStyle w:val="BodyText"/>
        <w:spacing w:before="1"/>
      </w:pPr>
    </w:p>
    <w:p>
      <w:pPr>
        <w:pStyle w:val="BodyText"/>
        <w:ind w:left="140"/>
      </w:pPr>
      <w:r>
        <w:rPr/>
        <w:t>Nový Kangoo Van bude na jaře 2022 k dispozici také v elektrickém provedení a později i v prodloužené</w:t>
      </w:r>
    </w:p>
    <w:p>
      <w:pPr>
        <w:pStyle w:val="BodyText"/>
        <w:ind w:left="140"/>
      </w:pPr>
      <w:r>
        <w:rPr/>
        <w:t>verzi.</w:t>
      </w:r>
    </w:p>
    <w:p>
      <w:pPr>
        <w:pStyle w:val="BodyText"/>
        <w:rPr>
          <w:sz w:val="24"/>
        </w:rPr>
      </w:pPr>
    </w:p>
    <w:p>
      <w:pPr>
        <w:pStyle w:val="Heading1"/>
        <w:spacing w:before="192"/>
        <w:ind w:left="140"/>
      </w:pPr>
      <w:r>
        <w:rPr/>
        <w:t>ZÁVOD V MAUBEUGE, CENTRUM EXCELENCE</w:t>
      </w:r>
    </w:p>
    <w:p>
      <w:pPr>
        <w:pStyle w:val="BodyText"/>
        <w:ind w:left="140" w:right="94"/>
      </w:pPr>
      <w:r>
        <w:rPr/>
        <w:t>Od roku 1997 je závod Renault v Maubeuge v regionu Hauts-de-France hlavním výrobním závodem pro Kangoo. Pro zajištění nejvyšší kvality výroby nového modelu Kangoo v užitkové a osobní verzi, stejně jako vozidel svých partnerů Mercedes-Benz a Nissan, investoval Renault 450 milionů eur a provedl v závodě rozsáhlou transformaci: novou vysokorychlostní lisovací linku XXL určenou pro lisování velmi velkých dílů, 630 nových robotů pro zpracování plechu, nové aplikační roboty a novou linku pro kontrolu kvality laku, modernizaci montážních zařízení s logistikou tformou « full kitting » a novou dokončovací linku. Závod také vybudoval novou dílnu na montáž baterií, aby se připravil na příchod elektrické verze vozu Kangoo Van, která bude uvedena na trh na jaře 2022.</w:t>
      </w:r>
    </w:p>
    <w:p>
      <w:pPr>
        <w:pStyle w:val="BodyText"/>
      </w:pPr>
    </w:p>
    <w:p>
      <w:pPr>
        <w:pStyle w:val="Heading1"/>
        <w:ind w:left="140"/>
      </w:pPr>
      <w:r>
        <w:rPr/>
        <w:t>RENAULT KANGOO, OPRAVDOVÝ PRIBEH USPECHU</w:t>
      </w:r>
    </w:p>
    <w:p>
      <w:pPr>
        <w:pStyle w:val="BodyText"/>
        <w:ind w:left="140" w:right="94"/>
      </w:pPr>
      <w:r>
        <w:rPr/>
        <w:t>Od svého uvedení na trh v roce 1997 vyrobil Renault po celém světě 4,3 milionu vozů Kangoo, a to jak ve verzi pro osobní, tak pro užitkové vozy, ve třech generacích modelů. Kangoo se vyrábí převážně v Maubeuge, ale také v závodě Santa Isabel v argentinské Córdobě.</w:t>
      </w:r>
    </w:p>
    <w:sectPr>
      <w:pgSz w:w="11900" w:h="16820"/>
      <w:pgMar w:header="0" w:footer="1160" w:top="660" w:bottom="138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uvelR">
    <w:altName w:val="NouvelR"/>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9.625pt;margin-top:771.799988pt;width:107.35pt;height:42.8pt;mso-position-horizontal-relative:page;mso-position-vertical-relative:page;z-index:-15779840" type="#_x0000_t202" filled="false" stroked="false">
          <v:textbox inset="0,0,0,0">
            <w:txbxContent>
              <w:p>
                <w:pPr>
                  <w:spacing w:line="240" w:lineRule="exact" w:before="20"/>
                  <w:ind w:left="20" w:right="0" w:firstLine="0"/>
                  <w:jc w:val="left"/>
                  <w:rPr>
                    <w:b/>
                    <w:sz w:val="20"/>
                  </w:rPr>
                </w:pPr>
                <w:r>
                  <w:rPr>
                    <w:b/>
                    <w:sz w:val="20"/>
                  </w:rPr>
                  <w:t>RENAULT PRESS</w:t>
                </w:r>
              </w:p>
              <w:p>
                <w:pPr>
                  <w:spacing w:line="192" w:lineRule="exact" w:before="0"/>
                  <w:ind w:left="20" w:right="0" w:firstLine="0"/>
                  <w:jc w:val="left"/>
                  <w:rPr>
                    <w:sz w:val="16"/>
                  </w:rPr>
                </w:pPr>
                <w:r>
                  <w:rPr>
                    <w:sz w:val="16"/>
                  </w:rPr>
                  <w:t>+420 602 275 168</w:t>
                </w:r>
              </w:p>
              <w:p>
                <w:pPr>
                  <w:spacing w:before="0"/>
                  <w:ind w:left="20" w:right="-6" w:firstLine="0"/>
                  <w:jc w:val="left"/>
                  <w:rPr>
                    <w:sz w:val="16"/>
                  </w:rPr>
                </w:pPr>
                <w:hyperlink r:id="rId1">
                  <w:r>
                    <w:rPr>
                      <w:sz w:val="16"/>
                    </w:rPr>
                    <w:t>Jitka.skalickova@renault.cz</w:t>
                  </w:r>
                </w:hyperlink>
                <w:r>
                  <w:rPr>
                    <w:sz w:val="16"/>
                  </w:rPr>
                  <w:t> media.renault.cz</w:t>
                </w:r>
              </w:p>
            </w:txbxContent>
          </v:textbox>
          <w10:wrap type="none"/>
        </v:shape>
      </w:pict>
    </w:r>
    <w:r>
      <w:rPr/>
      <w:pict>
        <v:shape style="position:absolute;margin-left:522.969971pt;margin-top:803.159973pt;width:19.350pt;height:11.6pt;mso-position-horizontal-relative:page;mso-position-vertical-relative:page;z-index:-15779328" type="#_x0000_t202" filled="false" stroked="false">
          <v:textbox inset="0,0,0,0">
            <w:txbxContent>
              <w:p>
                <w:pPr>
                  <w:spacing w:before="20"/>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 /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360"/>
      </w:pPr>
      <w:rPr>
        <w:rFonts w:hint="default" w:ascii="Arial" w:hAnsi="Arial" w:eastAsia="Arial" w:cs="Arial"/>
        <w:w w:val="131"/>
        <w:sz w:val="20"/>
        <w:szCs w:val="20"/>
        <w:lang w:val="cs-CZ" w:eastAsia="en-US" w:bidi="ar-SA"/>
      </w:rPr>
    </w:lvl>
    <w:lvl w:ilvl="1">
      <w:start w:val="0"/>
      <w:numFmt w:val="bullet"/>
      <w:lvlText w:val="•"/>
      <w:lvlJc w:val="left"/>
      <w:pPr>
        <w:ind w:left="1786" w:hanging="360"/>
      </w:pPr>
      <w:rPr>
        <w:rFonts w:hint="default"/>
        <w:lang w:val="cs-CZ" w:eastAsia="en-US" w:bidi="ar-SA"/>
      </w:rPr>
    </w:lvl>
    <w:lvl w:ilvl="2">
      <w:start w:val="0"/>
      <w:numFmt w:val="bullet"/>
      <w:lvlText w:val="•"/>
      <w:lvlJc w:val="left"/>
      <w:pPr>
        <w:ind w:left="2712" w:hanging="360"/>
      </w:pPr>
      <w:rPr>
        <w:rFonts w:hint="default"/>
        <w:lang w:val="cs-CZ" w:eastAsia="en-US" w:bidi="ar-SA"/>
      </w:rPr>
    </w:lvl>
    <w:lvl w:ilvl="3">
      <w:start w:val="0"/>
      <w:numFmt w:val="bullet"/>
      <w:lvlText w:val="•"/>
      <w:lvlJc w:val="left"/>
      <w:pPr>
        <w:ind w:left="3638" w:hanging="360"/>
      </w:pPr>
      <w:rPr>
        <w:rFonts w:hint="default"/>
        <w:lang w:val="cs-CZ" w:eastAsia="en-US" w:bidi="ar-SA"/>
      </w:rPr>
    </w:lvl>
    <w:lvl w:ilvl="4">
      <w:start w:val="0"/>
      <w:numFmt w:val="bullet"/>
      <w:lvlText w:val="•"/>
      <w:lvlJc w:val="left"/>
      <w:pPr>
        <w:ind w:left="4564" w:hanging="360"/>
      </w:pPr>
      <w:rPr>
        <w:rFonts w:hint="default"/>
        <w:lang w:val="cs-CZ" w:eastAsia="en-US" w:bidi="ar-SA"/>
      </w:rPr>
    </w:lvl>
    <w:lvl w:ilvl="5">
      <w:start w:val="0"/>
      <w:numFmt w:val="bullet"/>
      <w:lvlText w:val="•"/>
      <w:lvlJc w:val="left"/>
      <w:pPr>
        <w:ind w:left="5490" w:hanging="360"/>
      </w:pPr>
      <w:rPr>
        <w:rFonts w:hint="default"/>
        <w:lang w:val="cs-CZ" w:eastAsia="en-US" w:bidi="ar-SA"/>
      </w:rPr>
    </w:lvl>
    <w:lvl w:ilvl="6">
      <w:start w:val="0"/>
      <w:numFmt w:val="bullet"/>
      <w:lvlText w:val="•"/>
      <w:lvlJc w:val="left"/>
      <w:pPr>
        <w:ind w:left="6416" w:hanging="360"/>
      </w:pPr>
      <w:rPr>
        <w:rFonts w:hint="default"/>
        <w:lang w:val="cs-CZ" w:eastAsia="en-US" w:bidi="ar-SA"/>
      </w:rPr>
    </w:lvl>
    <w:lvl w:ilvl="7">
      <w:start w:val="0"/>
      <w:numFmt w:val="bullet"/>
      <w:lvlText w:val="•"/>
      <w:lvlJc w:val="left"/>
      <w:pPr>
        <w:ind w:left="7342" w:hanging="360"/>
      </w:pPr>
      <w:rPr>
        <w:rFonts w:hint="default"/>
        <w:lang w:val="cs-CZ" w:eastAsia="en-US" w:bidi="ar-SA"/>
      </w:rPr>
    </w:lvl>
    <w:lvl w:ilvl="8">
      <w:start w:val="0"/>
      <w:numFmt w:val="bullet"/>
      <w:lvlText w:val="•"/>
      <w:lvlJc w:val="left"/>
      <w:pPr>
        <w:ind w:left="8268" w:hanging="360"/>
      </w:pPr>
      <w:rPr>
        <w:rFonts w:hint="default"/>
        <w:lang w:val="cs-CZ"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uvelR" w:hAnsi="NouvelR" w:eastAsia="NouvelR" w:cs="NouvelR"/>
      <w:lang w:val="cs-CZ" w:eastAsia="en-US" w:bidi="ar-SA"/>
    </w:rPr>
  </w:style>
  <w:style w:styleId="BodyText" w:type="paragraph">
    <w:name w:val="Body Text"/>
    <w:basedOn w:val="Normal"/>
    <w:uiPriority w:val="1"/>
    <w:qFormat/>
    <w:pPr/>
    <w:rPr>
      <w:rFonts w:ascii="NouvelR" w:hAnsi="NouvelR" w:eastAsia="NouvelR" w:cs="NouvelR"/>
      <w:sz w:val="20"/>
      <w:szCs w:val="20"/>
      <w:lang w:val="cs-CZ" w:eastAsia="en-US" w:bidi="ar-SA"/>
    </w:rPr>
  </w:style>
  <w:style w:styleId="Heading1" w:type="paragraph">
    <w:name w:val="Heading 1"/>
    <w:basedOn w:val="Normal"/>
    <w:uiPriority w:val="1"/>
    <w:qFormat/>
    <w:pPr>
      <w:ind w:left="860"/>
      <w:outlineLvl w:val="1"/>
    </w:pPr>
    <w:rPr>
      <w:rFonts w:ascii="NouvelR" w:hAnsi="NouvelR" w:eastAsia="NouvelR" w:cs="NouvelR"/>
      <w:b/>
      <w:bCs/>
      <w:sz w:val="20"/>
      <w:szCs w:val="20"/>
      <w:lang w:val="cs-CZ" w:eastAsia="en-US" w:bidi="ar-SA"/>
    </w:rPr>
  </w:style>
  <w:style w:styleId="Title" w:type="paragraph">
    <w:name w:val="Title"/>
    <w:basedOn w:val="Normal"/>
    <w:uiPriority w:val="1"/>
    <w:qFormat/>
    <w:pPr>
      <w:spacing w:before="181"/>
      <w:ind w:left="100" w:right="7527"/>
    </w:pPr>
    <w:rPr>
      <w:rFonts w:ascii="NouvelR" w:hAnsi="NouvelR" w:eastAsia="NouvelR" w:cs="NouvelR"/>
      <w:b/>
      <w:bCs/>
      <w:sz w:val="47"/>
      <w:szCs w:val="47"/>
      <w:lang w:val="cs-CZ" w:eastAsia="en-US" w:bidi="ar-SA"/>
    </w:rPr>
  </w:style>
  <w:style w:styleId="ListParagraph" w:type="paragraph">
    <w:name w:val="List Paragraph"/>
    <w:basedOn w:val="Normal"/>
    <w:uiPriority w:val="1"/>
    <w:qFormat/>
    <w:pPr>
      <w:ind w:left="860" w:hanging="360"/>
    </w:pPr>
    <w:rPr>
      <w:rFonts w:ascii="NouvelR" w:hAnsi="NouvelR" w:eastAsia="NouvelR" w:cs="NouvelR"/>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Jitka.skalickova@renaul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JOLLY</dc:creator>
  <dcterms:created xsi:type="dcterms:W3CDTF">2021-11-18T07:33:27Z</dcterms:created>
  <dcterms:modified xsi:type="dcterms:W3CDTF">2021-11-18T07:33:27Z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pro Microsoft 365</vt:lpwstr>
  </property>
  <property fmtid="{D5CDD505-2E9C-101B-9397-08002B2CF9AE}" pid="4" name="LastSaved">
    <vt:filetime>2021-11-18T00:00:00Z</vt:filetime>
  </property>
</Properties>
</file>