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line="287" w:lineRule="exact" w:before="100"/>
        <w:ind w:left="0" w:right="1351" w:firstLine="0"/>
        <w:jc w:val="right"/>
        <w:rPr>
          <w:rFonts w:ascii="NouvelR-Light" w:hAnsi="NouvelR-Light"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540384</wp:posOffset>
            </wp:positionH>
            <wp:positionV relativeFrom="paragraph">
              <wp:posOffset>-293001</wp:posOffset>
            </wp:positionV>
            <wp:extent cx="1115694" cy="5047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4" cy="50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uvelR-Light" w:hAnsi="NouvelR-Light"/>
          <w:sz w:val="24"/>
        </w:rPr>
        <w:t>TISKOVÁ ZPRÁVA</w:t>
      </w:r>
    </w:p>
    <w:p>
      <w:pPr>
        <w:pStyle w:val="BodyText"/>
        <w:spacing w:line="215" w:lineRule="exact"/>
        <w:ind w:right="1798"/>
        <w:jc w:val="right"/>
        <w:rPr>
          <w:rFonts w:ascii="NouvelR-Light" w:hAnsi="NouvelR-Light"/>
        </w:rPr>
      </w:pPr>
      <w:r>
        <w:rPr>
          <w:rFonts w:ascii="NouvelR-Light" w:hAnsi="NouvelR-Light"/>
        </w:rPr>
        <w:t>31. ČERVENCE 2021</w:t>
      </w:r>
    </w:p>
    <w:p>
      <w:pPr>
        <w:pStyle w:val="BodyText"/>
        <w:rPr>
          <w:rFonts w:ascii="NouvelR-Light"/>
          <w:sz w:val="20"/>
        </w:rPr>
      </w:pPr>
    </w:p>
    <w:p>
      <w:pPr>
        <w:pStyle w:val="BodyText"/>
        <w:rPr>
          <w:rFonts w:ascii="NouvelR-Light"/>
          <w:sz w:val="20"/>
        </w:rPr>
      </w:pPr>
    </w:p>
    <w:p>
      <w:pPr>
        <w:pStyle w:val="Heading1"/>
        <w:spacing w:before="253"/>
      </w:pPr>
      <w:r>
        <w:rPr/>
        <w:t>Výsledky 1. pololetí 2021.</w:t>
      </w:r>
    </w:p>
    <w:p>
      <w:pPr>
        <w:tabs>
          <w:tab w:pos="2883" w:val="left" w:leader="none"/>
          <w:tab w:pos="4775" w:val="left" w:leader="none"/>
          <w:tab w:pos="5844" w:val="left" w:leader="none"/>
          <w:tab w:pos="8401" w:val="left" w:leader="none"/>
          <w:tab w:pos="9529" w:val="left" w:leader="none"/>
        </w:tabs>
        <w:spacing w:before="240"/>
        <w:ind w:left="920" w:right="0" w:firstLine="0"/>
        <w:jc w:val="left"/>
        <w:rPr>
          <w:rFonts w:ascii="NouvelR-Light" w:hAnsi="NouvelR-Light"/>
          <w:sz w:val="42"/>
        </w:rPr>
      </w:pPr>
      <w:r>
        <w:rPr>
          <w:rFonts w:ascii="NouvelR-Light" w:hAnsi="NouvelR-Light"/>
          <w:sz w:val="42"/>
        </w:rPr>
        <w:t>Skupina</w:t>
        <w:tab/>
        <w:t>Renault</w:t>
        <w:tab/>
        <w:t>plní</w:t>
        <w:tab/>
        <w:t>v</w:t>
      </w:r>
      <w:r>
        <w:rPr>
          <w:rFonts w:ascii="NouvelR-Light" w:hAnsi="NouvelR-Light"/>
          <w:spacing w:val="-1"/>
          <w:sz w:val="42"/>
        </w:rPr>
        <w:t> </w:t>
      </w:r>
      <w:r>
        <w:rPr>
          <w:rFonts w:ascii="NouvelR-Light" w:hAnsi="NouvelR-Light"/>
          <w:sz w:val="42"/>
        </w:rPr>
        <w:t>předstihu</w:t>
        <w:tab/>
        <w:t>svůj</w:t>
        <w:tab/>
        <w:t>plán</w:t>
      </w:r>
    </w:p>
    <w:p>
      <w:pPr>
        <w:pStyle w:val="Heading1"/>
      </w:pPr>
      <w:r>
        <w:rPr/>
        <w:t>„Renaulution“.</w:t>
      </w:r>
    </w:p>
    <w:p>
      <w:pPr>
        <w:pStyle w:val="BodyText"/>
        <w:spacing w:before="5"/>
        <w:rPr>
          <w:rFonts w:ascii="NouvelR-Light"/>
          <w:sz w:val="50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92" w:right="226" w:hanging="360"/>
        <w:jc w:val="both"/>
        <w:rPr>
          <w:sz w:val="20"/>
        </w:rPr>
      </w:pPr>
      <w:r>
        <w:rPr>
          <w:sz w:val="20"/>
        </w:rPr>
        <w:t>Renault Group by měl splnit svůj plán úspor fixních nákladů o 2 miliardy eur s ročním předstihem: bylo realizováno již 1, 8 miliardy eur, z toho více než 600 milionů v tomto prvním pololetí ve srovnání s r. 2019.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8" w:after="0"/>
        <w:ind w:left="1292" w:right="237" w:hanging="360"/>
        <w:jc w:val="left"/>
        <w:rPr>
          <w:sz w:val="20"/>
        </w:rPr>
      </w:pPr>
      <w:r>
        <w:rPr>
          <w:sz w:val="20"/>
        </w:rPr>
        <w:t>Výrazný plusový čistý cenový výsledek (+ 8,7 bodů na obratu Automobile mimo AVTOVAZ), odrážející zahájení nové obchodní politiky v rámci</w:t>
      </w:r>
      <w:r>
        <w:rPr>
          <w:spacing w:val="-4"/>
          <w:sz w:val="20"/>
        </w:rPr>
        <w:t> </w:t>
      </w:r>
      <w:r>
        <w:rPr>
          <w:sz w:val="20"/>
        </w:rPr>
        <w:t>„Renaulution”.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8" w:after="0"/>
        <w:ind w:left="1292" w:right="0" w:hanging="361"/>
        <w:jc w:val="left"/>
        <w:rPr>
          <w:sz w:val="20"/>
        </w:rPr>
      </w:pPr>
      <w:r>
        <w:rPr>
          <w:sz w:val="20"/>
        </w:rPr>
        <w:t>Operativní marže skupiny na 2,8 % oproti -6,5 % za první pololetí</w:t>
      </w:r>
      <w:r>
        <w:rPr>
          <w:spacing w:val="-5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7" w:after="0"/>
        <w:ind w:left="1292" w:right="230" w:hanging="360"/>
        <w:jc w:val="left"/>
        <w:rPr>
          <w:sz w:val="20"/>
        </w:rPr>
      </w:pPr>
      <w:r>
        <w:rPr>
          <w:sz w:val="20"/>
        </w:rPr>
        <w:t>Operativní marže Automobile (včetně AVTOVAZ) plusová, vyšší o více než 1,7 miliardy eur oproti prvnímu pololetí 2020, navzdory pandemii a krizi v dodávkách</w:t>
      </w:r>
      <w:r>
        <w:rPr>
          <w:spacing w:val="-5"/>
          <w:sz w:val="20"/>
        </w:rPr>
        <w:t> </w:t>
      </w:r>
      <w:r>
        <w:rPr>
          <w:sz w:val="20"/>
        </w:rPr>
        <w:t>komponentů.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8" w:after="0"/>
        <w:ind w:left="1292" w:right="0" w:hanging="361"/>
        <w:jc w:val="left"/>
        <w:rPr>
          <w:sz w:val="20"/>
        </w:rPr>
      </w:pPr>
      <w:r>
        <w:rPr>
          <w:sz w:val="20"/>
        </w:rPr>
        <w:t>Prodej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27"/>
          <w:sz w:val="20"/>
        </w:rPr>
        <w:t> </w:t>
      </w:r>
      <w:r>
        <w:rPr>
          <w:sz w:val="20"/>
        </w:rPr>
        <w:t>prvním</w:t>
      </w:r>
      <w:r>
        <w:rPr>
          <w:spacing w:val="27"/>
          <w:sz w:val="20"/>
        </w:rPr>
        <w:t> </w:t>
      </w:r>
      <w:r>
        <w:rPr>
          <w:sz w:val="20"/>
        </w:rPr>
        <w:t>pololetí</w:t>
      </w:r>
      <w:r>
        <w:rPr>
          <w:spacing w:val="32"/>
          <w:sz w:val="20"/>
        </w:rPr>
        <w:t> </w:t>
      </w:r>
      <w:r>
        <w:rPr>
          <w:sz w:val="20"/>
        </w:rPr>
        <w:t>2021</w:t>
      </w:r>
      <w:r>
        <w:rPr>
          <w:spacing w:val="29"/>
          <w:sz w:val="20"/>
        </w:rPr>
        <w:t> </w:t>
      </w:r>
      <w:r>
        <w:rPr>
          <w:sz w:val="20"/>
        </w:rPr>
        <w:t>vzrostl</w:t>
      </w:r>
      <w:r>
        <w:rPr>
          <w:spacing w:val="32"/>
          <w:sz w:val="20"/>
        </w:rPr>
        <w:t> </w:t>
      </w:r>
      <w:r>
        <w:rPr>
          <w:sz w:val="20"/>
        </w:rPr>
        <w:t>celosvětově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18,7</w:t>
      </w:r>
      <w:r>
        <w:rPr>
          <w:spacing w:val="29"/>
          <w:sz w:val="20"/>
        </w:rPr>
        <w:t> </w:t>
      </w:r>
      <w:r>
        <w:rPr>
          <w:sz w:val="20"/>
        </w:rPr>
        <w:t>%</w:t>
      </w:r>
      <w:r>
        <w:rPr>
          <w:spacing w:val="32"/>
          <w:sz w:val="20"/>
        </w:rPr>
        <w:t> </w:t>
      </w:r>
      <w:r>
        <w:rPr>
          <w:sz w:val="20"/>
        </w:rPr>
        <w:t>oproti</w:t>
      </w:r>
      <w:r>
        <w:rPr>
          <w:spacing w:val="31"/>
          <w:sz w:val="20"/>
        </w:rPr>
        <w:t> </w:t>
      </w:r>
      <w:r>
        <w:rPr>
          <w:sz w:val="20"/>
        </w:rPr>
        <w:t>prvnímu</w:t>
      </w:r>
      <w:r>
        <w:rPr>
          <w:spacing w:val="30"/>
          <w:sz w:val="20"/>
        </w:rPr>
        <w:t> </w:t>
      </w:r>
      <w:r>
        <w:rPr>
          <w:sz w:val="20"/>
        </w:rPr>
        <w:t>pololetí</w:t>
      </w:r>
      <w:r>
        <w:rPr>
          <w:spacing w:val="31"/>
          <w:sz w:val="20"/>
        </w:rPr>
        <w:t> </w:t>
      </w:r>
      <w:r>
        <w:rPr>
          <w:sz w:val="20"/>
        </w:rPr>
        <w:t>2020,</w:t>
      </w:r>
      <w:r>
        <w:rPr>
          <w:spacing w:val="32"/>
          <w:sz w:val="20"/>
        </w:rPr>
        <w:t> </w:t>
      </w:r>
      <w:r>
        <w:rPr>
          <w:sz w:val="20"/>
        </w:rPr>
        <w:t>ale</w:t>
      </w:r>
      <w:r>
        <w:rPr>
          <w:spacing w:val="29"/>
          <w:sz w:val="20"/>
        </w:rPr>
        <w:t> </w:t>
      </w:r>
      <w:r>
        <w:rPr>
          <w:sz w:val="20"/>
        </w:rPr>
        <w:t>stále</w:t>
      </w:r>
    </w:p>
    <w:p>
      <w:pPr>
        <w:spacing w:before="1"/>
        <w:ind w:left="1292" w:right="0" w:firstLine="0"/>
        <w:jc w:val="both"/>
        <w:rPr>
          <w:sz w:val="20"/>
        </w:rPr>
      </w:pPr>
      <w:r>
        <w:rPr>
          <w:sz w:val="20"/>
        </w:rPr>
        <w:t>zaostává o -24,2 % za prvním pololetím 2019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0" w:after="0"/>
        <w:ind w:left="1292" w:right="0" w:hanging="361"/>
        <w:jc w:val="left"/>
        <w:rPr>
          <w:sz w:val="20"/>
        </w:rPr>
      </w:pPr>
      <w:r>
        <w:rPr>
          <w:sz w:val="20"/>
        </w:rPr>
        <w:t>Obrat skupiny 23,4 miliard eur se zvýšil o 26,8</w:t>
      </w:r>
      <w:r>
        <w:rPr>
          <w:spacing w:val="-12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7" w:after="0"/>
        <w:ind w:left="1292" w:right="0" w:hanging="361"/>
        <w:jc w:val="left"/>
        <w:rPr>
          <w:sz w:val="20"/>
        </w:rPr>
      </w:pPr>
      <w:r>
        <w:rPr>
          <w:sz w:val="20"/>
        </w:rPr>
        <w:t>Čistý plusový výsledek dosáhl 368 milionů</w:t>
      </w:r>
      <w:r>
        <w:rPr>
          <w:spacing w:val="-11"/>
          <w:sz w:val="20"/>
        </w:rPr>
        <w:t> </w:t>
      </w:r>
      <w:r>
        <w:rPr>
          <w:sz w:val="20"/>
        </w:rPr>
        <w:t>eur.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8" w:after="0"/>
        <w:ind w:left="1292" w:right="0" w:hanging="361"/>
        <w:jc w:val="left"/>
        <w:rPr>
          <w:sz w:val="20"/>
        </w:rPr>
      </w:pPr>
      <w:r>
        <w:rPr>
          <w:sz w:val="20"/>
        </w:rPr>
        <w:t>Operativní free cash-flow Automobile </w:t>
      </w:r>
      <w:r>
        <w:rPr>
          <w:spacing w:val="-3"/>
          <w:sz w:val="20"/>
        </w:rPr>
        <w:t>je </w:t>
      </w:r>
      <w:r>
        <w:rPr>
          <w:sz w:val="20"/>
        </w:rPr>
        <w:t>téměř vyrovnaný (-70 milionů</w:t>
      </w:r>
      <w:r>
        <w:rPr>
          <w:spacing w:val="6"/>
          <w:sz w:val="20"/>
        </w:rPr>
        <w:t> </w:t>
      </w:r>
      <w:r>
        <w:rPr>
          <w:sz w:val="20"/>
        </w:rPr>
        <w:t>eur).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1293" w:val="left" w:leader="none"/>
        </w:tabs>
        <w:spacing w:line="240" w:lineRule="auto" w:before="136" w:after="0"/>
        <w:ind w:left="1292" w:right="237" w:hanging="360"/>
        <w:jc w:val="left"/>
        <w:rPr>
          <w:sz w:val="20"/>
        </w:rPr>
      </w:pPr>
      <w:r>
        <w:rPr>
          <w:sz w:val="20"/>
        </w:rPr>
        <w:t>Snížení</w:t>
      </w:r>
      <w:r>
        <w:rPr>
          <w:spacing w:val="-5"/>
          <w:sz w:val="20"/>
        </w:rPr>
        <w:t> </w:t>
      </w:r>
      <w:r>
        <w:rPr>
          <w:sz w:val="20"/>
        </w:rPr>
        <w:t>čistého</w:t>
      </w:r>
      <w:r>
        <w:rPr>
          <w:spacing w:val="-4"/>
          <w:sz w:val="20"/>
        </w:rPr>
        <w:t> </w:t>
      </w:r>
      <w:r>
        <w:rPr>
          <w:sz w:val="20"/>
        </w:rPr>
        <w:t>dluhu</w:t>
      </w:r>
      <w:r>
        <w:rPr>
          <w:spacing w:val="-7"/>
          <w:sz w:val="20"/>
        </w:rPr>
        <w:t> </w:t>
      </w:r>
      <w:r>
        <w:rPr>
          <w:sz w:val="20"/>
        </w:rPr>
        <w:t>Automobile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0,8</w:t>
      </w:r>
      <w:r>
        <w:rPr>
          <w:spacing w:val="-6"/>
          <w:sz w:val="20"/>
        </w:rPr>
        <w:t> </w:t>
      </w:r>
      <w:r>
        <w:rPr>
          <w:sz w:val="20"/>
        </w:rPr>
        <w:t>miliardy</w:t>
      </w:r>
      <w:r>
        <w:rPr>
          <w:spacing w:val="-4"/>
          <w:sz w:val="20"/>
        </w:rPr>
        <w:t> </w:t>
      </w:r>
      <w:r>
        <w:rPr>
          <w:sz w:val="20"/>
        </w:rPr>
        <w:t>eur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rezervy</w:t>
      </w:r>
      <w:r>
        <w:rPr>
          <w:spacing w:val="-4"/>
          <w:sz w:val="20"/>
        </w:rPr>
        <w:t> </w:t>
      </w:r>
      <w:r>
        <w:rPr>
          <w:sz w:val="20"/>
        </w:rPr>
        <w:t>likvidních</w:t>
      </w:r>
      <w:r>
        <w:rPr>
          <w:spacing w:val="-4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Automobile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16,7 miliard eur k 30. červnu</w:t>
      </w:r>
      <w:r>
        <w:rPr>
          <w:spacing w:val="-5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138" w:after="0"/>
        <w:ind w:left="1292" w:right="227" w:hanging="360"/>
        <w:jc w:val="both"/>
        <w:rPr>
          <w:sz w:val="20"/>
        </w:rPr>
      </w:pPr>
      <w:r>
        <w:rPr>
          <w:sz w:val="20"/>
        </w:rPr>
        <w:t>Navzdory nejistotě vznášející se nad poptávkou, dalším negativním dopadům krize v dodávkách komponentů, která by mohla vést k poklesu výroby řádově o 200 000 vozů ročně a k růstu cen surovin, Renault Group hodlá dosáhnout řádově stejné roční míry operativní marže jako v prvním</w:t>
      </w:r>
      <w:r>
        <w:rPr>
          <w:spacing w:val="-13"/>
          <w:sz w:val="20"/>
        </w:rPr>
        <w:t> </w:t>
      </w:r>
      <w:r>
        <w:rPr>
          <w:sz w:val="20"/>
        </w:rPr>
        <w:t>pololetí.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74" w:lineRule="exact" w:before="1" w:after="0"/>
        <w:ind w:left="1292" w:right="0" w:hanging="361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26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ekologickými</w:t>
      </w:r>
      <w:r>
        <w:rPr>
          <w:spacing w:val="29"/>
          <w:sz w:val="20"/>
        </w:rPr>
        <w:t> </w:t>
      </w:r>
      <w:r>
        <w:rPr>
          <w:sz w:val="20"/>
        </w:rPr>
        <w:t>výzvami</w:t>
      </w:r>
      <w:r>
        <w:rPr>
          <w:spacing w:val="27"/>
          <w:sz w:val="20"/>
        </w:rPr>
        <w:t> </w:t>
      </w:r>
      <w:r>
        <w:rPr>
          <w:sz w:val="20"/>
        </w:rPr>
        <w:t>si</w:t>
      </w:r>
      <w:r>
        <w:rPr>
          <w:spacing w:val="27"/>
          <w:sz w:val="20"/>
        </w:rPr>
        <w:t> </w:t>
      </w:r>
      <w:r>
        <w:rPr>
          <w:sz w:val="20"/>
        </w:rPr>
        <w:t>skupina</w:t>
      </w:r>
      <w:r>
        <w:rPr>
          <w:spacing w:val="27"/>
          <w:sz w:val="20"/>
        </w:rPr>
        <w:t> </w:t>
      </w:r>
      <w:r>
        <w:rPr>
          <w:sz w:val="20"/>
        </w:rPr>
        <w:t>Renault</w:t>
      </w:r>
      <w:r>
        <w:rPr>
          <w:spacing w:val="26"/>
          <w:sz w:val="20"/>
        </w:rPr>
        <w:t> </w:t>
      </w:r>
      <w:r>
        <w:rPr>
          <w:sz w:val="20"/>
        </w:rPr>
        <w:t>klade</w:t>
      </w:r>
      <w:r>
        <w:rPr>
          <w:spacing w:val="29"/>
          <w:sz w:val="20"/>
        </w:rPr>
        <w:t> </w:t>
      </w:r>
      <w:r>
        <w:rPr>
          <w:sz w:val="20"/>
        </w:rPr>
        <w:t>za</w:t>
      </w:r>
      <w:r>
        <w:rPr>
          <w:spacing w:val="25"/>
          <w:sz w:val="20"/>
        </w:rPr>
        <w:t> </w:t>
      </w:r>
      <w:r>
        <w:rPr>
          <w:sz w:val="20"/>
        </w:rPr>
        <w:t>cíl</w:t>
      </w:r>
      <w:r>
        <w:rPr>
          <w:spacing w:val="28"/>
          <w:sz w:val="20"/>
        </w:rPr>
        <w:t> </w:t>
      </w:r>
      <w:r>
        <w:rPr>
          <w:sz w:val="20"/>
        </w:rPr>
        <w:t>dosáhnout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roku</w:t>
      </w:r>
      <w:r>
        <w:rPr>
          <w:spacing w:val="33"/>
          <w:sz w:val="20"/>
        </w:rPr>
        <w:t> </w:t>
      </w:r>
      <w:r>
        <w:rPr>
          <w:sz w:val="20"/>
        </w:rPr>
        <w:t>2040</w:t>
      </w:r>
      <w:r>
        <w:rPr>
          <w:spacing w:val="26"/>
          <w:sz w:val="20"/>
        </w:rPr>
        <w:t> </w:t>
      </w:r>
      <w:r>
        <w:rPr>
          <w:sz w:val="20"/>
        </w:rPr>
        <w:t>uhlíkové</w:t>
      </w:r>
    </w:p>
    <w:p>
      <w:pPr>
        <w:spacing w:line="274" w:lineRule="exact" w:before="0"/>
        <w:ind w:left="1292" w:right="0" w:firstLine="0"/>
        <w:jc w:val="both"/>
        <w:rPr>
          <w:sz w:val="20"/>
        </w:rPr>
      </w:pPr>
      <w:r>
        <w:rPr>
          <w:sz w:val="20"/>
        </w:rPr>
        <w:t>neutrality v Evropě a potvrzuje, že je na dobré cestě ke splnění svého cíle CAFE 2021.</w:t>
      </w:r>
    </w:p>
    <w:p>
      <w:pPr>
        <w:pStyle w:val="BodyText"/>
        <w:spacing w:line="288" w:lineRule="auto" w:before="121"/>
        <w:ind w:left="496" w:right="231"/>
        <w:jc w:val="both"/>
      </w:pPr>
      <w:r>
        <w:rPr/>
        <w:t>„Tyto výsledky jsou plodem našeho strategického plánu Renaulution, zaměřeného na rentabilitu. Jsou pro nás jen první etapou</w:t>
      </w:r>
      <w:r>
        <w:rPr>
          <w:spacing w:val="-10"/>
        </w:rPr>
        <w:t> </w:t>
      </w:r>
      <w:r>
        <w:rPr/>
        <w:t>ozdravení,</w:t>
      </w:r>
      <w:r>
        <w:rPr>
          <w:spacing w:val="-10"/>
        </w:rPr>
        <w:t> </w:t>
      </w:r>
      <w:r>
        <w:rPr/>
        <w:t>které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se</w:t>
      </w:r>
      <w:r>
        <w:rPr>
          <w:spacing w:val="-11"/>
        </w:rPr>
        <w:t> </w:t>
      </w:r>
      <w:r>
        <w:rPr/>
        <w:t>mělo</w:t>
      </w:r>
      <w:r>
        <w:rPr>
          <w:spacing w:val="-11"/>
        </w:rPr>
        <w:t> </w:t>
      </w:r>
      <w:r>
        <w:rPr/>
        <w:t>zrychlit</w:t>
      </w:r>
      <w:r>
        <w:rPr>
          <w:spacing w:val="-9"/>
        </w:rPr>
        <w:t> </w:t>
      </w:r>
      <w:r>
        <w:rPr/>
        <w:t>nástupem</w:t>
      </w:r>
      <w:r>
        <w:rPr>
          <w:spacing w:val="-9"/>
        </w:rPr>
        <w:t> </w:t>
      </w:r>
      <w:r>
        <w:rPr/>
        <w:t>nově</w:t>
      </w:r>
      <w:r>
        <w:rPr>
          <w:spacing w:val="-11"/>
        </w:rPr>
        <w:t> </w:t>
      </w:r>
      <w:r>
        <w:rPr/>
        <w:t>vyvíjených</w:t>
      </w:r>
      <w:r>
        <w:rPr>
          <w:spacing w:val="-12"/>
        </w:rPr>
        <w:t> </w:t>
      </w:r>
      <w:r>
        <w:rPr/>
        <w:t>vozů.</w:t>
      </w:r>
      <w:r>
        <w:rPr>
          <w:spacing w:val="-6"/>
        </w:rPr>
        <w:t> </w:t>
      </w:r>
      <w:r>
        <w:rPr/>
        <w:t>Děkuji</w:t>
      </w:r>
      <w:r>
        <w:rPr>
          <w:spacing w:val="-9"/>
        </w:rPr>
        <w:t> </w:t>
      </w:r>
      <w:r>
        <w:rPr/>
        <w:t>vřele</w:t>
      </w:r>
      <w:r>
        <w:rPr>
          <w:spacing w:val="-11"/>
        </w:rPr>
        <w:t> </w:t>
      </w:r>
      <w:r>
        <w:rPr/>
        <w:t>všem</w:t>
      </w:r>
      <w:r>
        <w:rPr>
          <w:spacing w:val="-5"/>
        </w:rPr>
        <w:t> </w:t>
      </w:r>
      <w:r>
        <w:rPr/>
        <w:t>spolupracovníkům,</w:t>
      </w:r>
      <w:r>
        <w:rPr>
          <w:spacing w:val="-10"/>
        </w:rPr>
        <w:t> </w:t>
      </w:r>
      <w:r>
        <w:rPr/>
        <w:t>jejichž</w:t>
      </w:r>
      <w:r>
        <w:rPr>
          <w:spacing w:val="-12"/>
        </w:rPr>
        <w:t> </w:t>
      </w:r>
      <w:r>
        <w:rPr/>
        <w:t>úsilí umožnilo dosažení těchto výsledků”, prohlásil Luca de Meo, CEO Renault</w:t>
      </w:r>
      <w:r>
        <w:rPr>
          <w:spacing w:val="-16"/>
        </w:rPr>
        <w:t> </w:t>
      </w:r>
      <w:r>
        <w:rPr/>
        <w:t>Group</w:t>
      </w:r>
    </w:p>
    <w:p>
      <w:pPr>
        <w:pStyle w:val="BodyText"/>
        <w:spacing w:line="288" w:lineRule="auto" w:before="120"/>
        <w:ind w:left="496" w:right="227"/>
        <w:jc w:val="both"/>
      </w:pPr>
      <w:r>
        <w:rPr/>
        <w:t>„Urazili</w:t>
      </w:r>
      <w:r>
        <w:rPr>
          <w:spacing w:val="-12"/>
        </w:rPr>
        <w:t> </w:t>
      </w:r>
      <w:r>
        <w:rPr/>
        <w:t>jsme</w:t>
      </w:r>
      <w:r>
        <w:rPr>
          <w:spacing w:val="-12"/>
        </w:rPr>
        <w:t> </w:t>
      </w:r>
      <w:r>
        <w:rPr/>
        <w:t>první</w:t>
      </w:r>
      <w:r>
        <w:rPr>
          <w:spacing w:val="-11"/>
        </w:rPr>
        <w:t> </w:t>
      </w:r>
      <w:r>
        <w:rPr/>
        <w:t>etapu</w:t>
      </w:r>
      <w:r>
        <w:rPr>
          <w:spacing w:val="-11"/>
        </w:rPr>
        <w:t> </w:t>
      </w:r>
      <w:r>
        <w:rPr/>
        <w:t>obnovení</w:t>
      </w:r>
      <w:r>
        <w:rPr>
          <w:spacing w:val="-12"/>
        </w:rPr>
        <w:t> </w:t>
      </w:r>
      <w:r>
        <w:rPr/>
        <w:t>naší</w:t>
      </w:r>
      <w:r>
        <w:rPr>
          <w:spacing w:val="-11"/>
        </w:rPr>
        <w:t> </w:t>
      </w:r>
      <w:r>
        <w:rPr/>
        <w:t>finanční</w:t>
      </w:r>
      <w:r>
        <w:rPr>
          <w:spacing w:val="-11"/>
        </w:rPr>
        <w:t> </w:t>
      </w:r>
      <w:r>
        <w:rPr/>
        <w:t>rovnováhy,</w:t>
      </w:r>
      <w:r>
        <w:rPr>
          <w:spacing w:val="-11"/>
        </w:rPr>
        <w:t> </w:t>
      </w:r>
      <w:r>
        <w:rPr/>
        <w:t>zejména</w:t>
      </w:r>
      <w:r>
        <w:rPr>
          <w:spacing w:val="-13"/>
        </w:rPr>
        <w:t> </w:t>
      </w:r>
      <w:r>
        <w:rPr/>
        <w:t>brzkým</w:t>
      </w:r>
      <w:r>
        <w:rPr>
          <w:spacing w:val="-10"/>
        </w:rPr>
        <w:t> </w:t>
      </w:r>
      <w:r>
        <w:rPr/>
        <w:t>obnovením</w:t>
      </w:r>
      <w:r>
        <w:rPr>
          <w:spacing w:val="-14"/>
        </w:rPr>
        <w:t> </w:t>
      </w:r>
      <w:r>
        <w:rPr/>
        <w:t>našeho</w:t>
      </w:r>
      <w:r>
        <w:rPr>
          <w:spacing w:val="-12"/>
        </w:rPr>
        <w:t> </w:t>
      </w:r>
      <w:r>
        <w:rPr/>
        <w:t>free</w:t>
      </w:r>
      <w:r>
        <w:rPr>
          <w:spacing w:val="-12"/>
        </w:rPr>
        <w:t> </w:t>
      </w:r>
      <w:r>
        <w:rPr/>
        <w:t>cash-flow</w:t>
      </w:r>
      <w:r>
        <w:rPr>
          <w:spacing w:val="-12"/>
        </w:rPr>
        <w:t> </w:t>
      </w:r>
      <w:r>
        <w:rPr/>
        <w:t>během</w:t>
      </w:r>
      <w:r>
        <w:rPr>
          <w:spacing w:val="-10"/>
        </w:rPr>
        <w:t> </w:t>
      </w:r>
      <w:r>
        <w:rPr/>
        <w:t>tohoto pololetí.</w:t>
      </w:r>
      <w:r>
        <w:rPr>
          <w:spacing w:val="-7"/>
        </w:rPr>
        <w:t> </w:t>
      </w:r>
      <w:r>
        <w:rPr/>
        <w:t>Solidní</w:t>
      </w:r>
      <w:r>
        <w:rPr>
          <w:spacing w:val="-7"/>
        </w:rPr>
        <w:t> </w:t>
      </w:r>
      <w:r>
        <w:rPr/>
        <w:t>stav</w:t>
      </w:r>
      <w:r>
        <w:rPr>
          <w:spacing w:val="-6"/>
        </w:rPr>
        <w:t> </w:t>
      </w:r>
      <w:r>
        <w:rPr/>
        <w:t>našich</w:t>
      </w:r>
      <w:r>
        <w:rPr>
          <w:spacing w:val="-8"/>
        </w:rPr>
        <w:t> </w:t>
      </w:r>
      <w:r>
        <w:rPr/>
        <w:t>likvidních</w:t>
      </w:r>
      <w:r>
        <w:rPr>
          <w:spacing w:val="-9"/>
        </w:rPr>
        <w:t> </w:t>
      </w:r>
      <w:r>
        <w:rPr/>
        <w:t>prostředků</w:t>
      </w:r>
      <w:r>
        <w:rPr>
          <w:spacing w:val="-7"/>
        </w:rPr>
        <w:t> </w:t>
      </w:r>
      <w:r>
        <w:rPr/>
        <w:t>nám</w:t>
      </w:r>
      <w:r>
        <w:rPr>
          <w:spacing w:val="-6"/>
        </w:rPr>
        <w:t> </w:t>
      </w:r>
      <w:r>
        <w:rPr/>
        <w:t>umožňuje</w:t>
      </w:r>
      <w:r>
        <w:rPr>
          <w:spacing w:val="-7"/>
        </w:rPr>
        <w:t> </w:t>
      </w:r>
      <w:r>
        <w:rPr/>
        <w:t>bezstarostně</w:t>
      </w:r>
      <w:r>
        <w:rPr>
          <w:spacing w:val="-8"/>
        </w:rPr>
        <w:t> </w:t>
      </w:r>
      <w:r>
        <w:rPr/>
        <w:t>pokračovat</w:t>
      </w:r>
      <w:r>
        <w:rPr>
          <w:spacing w:val="-9"/>
        </w:rPr>
        <w:t> </w:t>
      </w:r>
      <w:r>
        <w:rPr/>
        <w:t>v</w:t>
      </w:r>
      <w:r>
        <w:rPr>
          <w:spacing w:val="-6"/>
        </w:rPr>
        <w:t> </w:t>
      </w:r>
      <w:r>
        <w:rPr/>
        <w:t>ozdravování”,</w:t>
      </w:r>
      <w:r>
        <w:rPr>
          <w:spacing w:val="-7"/>
        </w:rPr>
        <w:t> </w:t>
      </w:r>
      <w:r>
        <w:rPr/>
        <w:t>prohlásila</w:t>
      </w:r>
      <w:r>
        <w:rPr>
          <w:spacing w:val="-8"/>
        </w:rPr>
        <w:t> </w:t>
      </w:r>
      <w:r>
        <w:rPr/>
        <w:t>Clotilde Celbos, finanční ředitelka Renault</w:t>
      </w:r>
      <w:r>
        <w:rPr>
          <w:spacing w:val="-9"/>
        </w:rPr>
        <w:t> </w:t>
      </w:r>
      <w:r>
        <w:rPr/>
        <w:t>Group</w:t>
      </w:r>
    </w:p>
    <w:p>
      <w:pPr>
        <w:spacing w:after="0" w:line="288" w:lineRule="auto"/>
        <w:jc w:val="both"/>
        <w:sectPr>
          <w:footerReference w:type="default" r:id="rId5"/>
          <w:type w:val="continuous"/>
          <w:pgSz w:w="11910" w:h="16840"/>
          <w:pgMar w:footer="862" w:top="1260" w:bottom="1060" w:left="640" w:right="620"/>
          <w:pgNumType w:start="1"/>
        </w:sectPr>
      </w:pPr>
    </w:p>
    <w:p>
      <w:pPr>
        <w:pStyle w:val="Heading3"/>
        <w:spacing w:before="85"/>
        <w:ind w:right="239"/>
      </w:pPr>
      <w:r>
        <w:rPr/>
        <w:t>Boulogne-Billancourt, 30/7/2021 – Obrat skupiny dosáhl 23 357 milionů eur, o 26,8 % více než v prvním pololetí 2020. Při konstantním směnném kurzu by se obrat skupiny zvýšil o 31,8 %.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496" w:right="237"/>
        <w:jc w:val="both"/>
      </w:pPr>
      <w:r>
        <w:rPr/>
        <w:t>Obrat Automobile mimo AVTOVAZ dosáhl 20 339 milionů eur, což je zvýšení o 29,3 % oproti prvnímu pololetí 2020. Oživení automobilového trhu se podílí 23,7 body. Důsledkem realizace nové obchodní politiky, která upřednostňuje rentabilní produkci, byl čistý pozitivní cenový efekt 8,7 bodů a mínusový „objemový výkon” - 8.7 bodů.</w:t>
      </w:r>
    </w:p>
    <w:p>
      <w:pPr>
        <w:pStyle w:val="BodyText"/>
        <w:spacing w:before="1"/>
        <w:ind w:left="496" w:right="227"/>
        <w:jc w:val="both"/>
      </w:pPr>
      <w:r>
        <w:rPr/>
        <w:t>Mínusový</w:t>
      </w:r>
      <w:r>
        <w:rPr>
          <w:spacing w:val="-9"/>
        </w:rPr>
        <w:t> </w:t>
      </w:r>
      <w:r>
        <w:rPr/>
        <w:t>směnný</w:t>
      </w:r>
      <w:r>
        <w:rPr>
          <w:spacing w:val="-9"/>
        </w:rPr>
        <w:t> </w:t>
      </w:r>
      <w:r>
        <w:rPr/>
        <w:t>efekt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3,9</w:t>
      </w:r>
      <w:r>
        <w:rPr>
          <w:spacing w:val="-6"/>
        </w:rPr>
        <w:t> </w:t>
      </w:r>
      <w:r>
        <w:rPr/>
        <w:t>bodů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spojen</w:t>
      </w:r>
      <w:r>
        <w:rPr>
          <w:spacing w:val="-7"/>
        </w:rPr>
        <w:t> </w:t>
      </w:r>
      <w:r>
        <w:rPr/>
        <w:t>hlavně</w:t>
      </w:r>
      <w:r>
        <w:rPr>
          <w:spacing w:val="-3"/>
        </w:rPr>
        <w:t> </w:t>
      </w:r>
      <w:r>
        <w:rPr/>
        <w:t>s</w:t>
      </w:r>
      <w:r>
        <w:rPr>
          <w:spacing w:val="-8"/>
        </w:rPr>
        <w:t> </w:t>
      </w:r>
      <w:r>
        <w:rPr/>
        <w:t>devalvací</w:t>
      </w:r>
      <w:r>
        <w:rPr>
          <w:spacing w:val="-6"/>
        </w:rPr>
        <w:t> </w:t>
      </w:r>
      <w:r>
        <w:rPr/>
        <w:t>argentinského</w:t>
      </w:r>
      <w:r>
        <w:rPr>
          <w:spacing w:val="-2"/>
        </w:rPr>
        <w:t> </w:t>
      </w:r>
      <w:r>
        <w:rPr/>
        <w:t>pesa,</w:t>
      </w:r>
      <w:r>
        <w:rPr>
          <w:spacing w:val="-6"/>
        </w:rPr>
        <w:t> </w:t>
      </w:r>
      <w:r>
        <w:rPr/>
        <w:t>ruského</w:t>
      </w:r>
      <w:r>
        <w:rPr>
          <w:spacing w:val="-6"/>
        </w:rPr>
        <w:t> </w:t>
      </w:r>
      <w:r>
        <w:rPr/>
        <w:t>rublu,</w:t>
      </w:r>
      <w:r>
        <w:rPr>
          <w:spacing w:val="-6"/>
        </w:rPr>
        <w:t> </w:t>
      </w:r>
      <w:r>
        <w:rPr/>
        <w:t>tureckélLiry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brazilského realu.</w:t>
      </w:r>
    </w:p>
    <w:p>
      <w:pPr>
        <w:pStyle w:val="BodyText"/>
        <w:spacing w:before="121"/>
        <w:ind w:left="496"/>
        <w:jc w:val="both"/>
      </w:pPr>
      <w:r>
        <w:rPr/>
        <w:t>Smíšený efekt je plusový 2,9 bodů díky zejména úspěšnému nástupu modelu Arkana, který značí obnovení značky v segmentu</w:t>
      </w:r>
    </w:p>
    <w:p>
      <w:pPr>
        <w:pStyle w:val="BodyText"/>
        <w:spacing w:before="48"/>
        <w:ind w:left="496"/>
        <w:jc w:val="both"/>
      </w:pPr>
      <w:r>
        <w:rPr/>
        <w:t>C, a nových lehkých užitkových vozů.</w:t>
      </w:r>
    </w:p>
    <w:p>
      <w:pPr>
        <w:pStyle w:val="BodyText"/>
        <w:spacing w:before="48"/>
        <w:ind w:left="496"/>
        <w:jc w:val="both"/>
      </w:pPr>
      <w:r>
        <w:rPr/>
        <w:t>„Ostatní” účinky +6,8 bodů způsobilo zvýšení podílu prodeje dílů a příslušenství a obnovení činnosti sítě, silně poznamenané</w:t>
      </w:r>
    </w:p>
    <w:p>
      <w:pPr>
        <w:pStyle w:val="BodyText"/>
        <w:spacing w:before="1"/>
        <w:ind w:left="496"/>
        <w:jc w:val="both"/>
      </w:pPr>
      <w:r>
        <w:rPr/>
        <w:t>omezením pohybu v prvním pololetí 2020.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</w:pPr>
      <w:r>
        <w:rPr/>
        <w:t>Skupina zaznamenala plusovou operativní marži 654 milionů eur (2,8 % obratu) oproti -1 203 milionů eur za první</w:t>
      </w:r>
    </w:p>
    <w:p>
      <w:pPr>
        <w:spacing w:before="49"/>
        <w:ind w:left="496" w:right="0" w:firstLine="0"/>
        <w:jc w:val="both"/>
        <w:rPr>
          <w:b/>
          <w:sz w:val="18"/>
        </w:rPr>
      </w:pPr>
      <w:r>
        <w:rPr>
          <w:b/>
          <w:sz w:val="18"/>
        </w:rPr>
        <w:t>pololetí 2020.</w:t>
      </w:r>
    </w:p>
    <w:p>
      <w:pPr>
        <w:pStyle w:val="BodyText"/>
        <w:rPr>
          <w:b/>
          <w:sz w:val="34"/>
        </w:rPr>
      </w:pPr>
    </w:p>
    <w:p>
      <w:pPr>
        <w:spacing w:before="1"/>
        <w:ind w:left="496" w:right="2410" w:firstLine="0"/>
        <w:jc w:val="left"/>
        <w:rPr>
          <w:sz w:val="18"/>
        </w:rPr>
      </w:pPr>
      <w:r>
        <w:rPr>
          <w:b/>
          <w:sz w:val="18"/>
        </w:rPr>
        <w:t>Operativní marže Automobile kromě AVTOVAZ </w:t>
      </w:r>
      <w:r>
        <w:rPr>
          <w:sz w:val="18"/>
        </w:rPr>
        <w:t>se zvýšila o 1,6 miliardy eur na -41 milionů eur. Zvýšení objemů a prodejů partnerům mají pozitivní dopad 487 milionů eur.</w:t>
      </w:r>
    </w:p>
    <w:p>
      <w:pPr>
        <w:pStyle w:val="BodyText"/>
        <w:ind w:left="496"/>
      </w:pPr>
      <w:r>
        <w:rPr/>
        <w:t>Smíšený efekt/ceny/přírůstek je plusový 599 milionů eur díky účinkům obchodní politiky v Evropě a zvýšení cen v nových zemích, které zejména pokrývají devalvace působící na směnné kurzy.</w:t>
      </w:r>
    </w:p>
    <w:p>
      <w:pPr>
        <w:pStyle w:val="BodyText"/>
        <w:spacing w:before="1"/>
        <w:ind w:left="496" w:right="209"/>
      </w:pPr>
      <w:r>
        <w:rPr/>
        <w:t>Účinek „Produktivita” (nákupy, záruky, výzkum a vývoj, výrobní náklady &amp; logistika, obecné náklady) je plusový 219 milionů eur, zejména z důvodu výkonu nákupů (143 milionů eur).</w:t>
      </w:r>
    </w:p>
    <w:p>
      <w:pPr>
        <w:pStyle w:val="BodyText"/>
        <w:spacing w:before="1"/>
        <w:ind w:left="496"/>
      </w:pPr>
      <w:r>
        <w:rPr/>
        <w:t>Devizy a suroviny zatížily přírůstek -70 milionů respektive -76 milionů eur.</w:t>
      </w:r>
    </w:p>
    <w:p>
      <w:pPr>
        <w:pStyle w:val="BodyText"/>
        <w:spacing w:line="288" w:lineRule="auto" w:before="120"/>
        <w:ind w:left="496" w:right="209"/>
      </w:pPr>
      <w:r>
        <w:rPr/>
        <w:t>„Ostatní” účinky dosáhly +454 milionů eur a lze je vysvětlit zejména dopadem obnovení činnosti sítě a činnosti v obchodu s díly a příslušenstvím.</w:t>
      </w:r>
    </w:p>
    <w:p>
      <w:pPr>
        <w:spacing w:before="118"/>
        <w:ind w:left="496" w:right="0" w:firstLine="0"/>
        <w:jc w:val="left"/>
        <w:rPr>
          <w:sz w:val="18"/>
        </w:rPr>
      </w:pPr>
      <w:r>
        <w:rPr>
          <w:b/>
          <w:sz w:val="18"/>
        </w:rPr>
        <w:t>Operativní marže AVTOVAZ </w:t>
      </w:r>
      <w:r>
        <w:rPr>
          <w:sz w:val="18"/>
        </w:rPr>
        <w:t>dosáhla 118 milionů eur, a vzrostla o 120 milionů eur, což je odrazem hlavně zvýšení objemů</w:t>
      </w:r>
    </w:p>
    <w:p>
      <w:pPr>
        <w:pStyle w:val="BodyText"/>
        <w:spacing w:before="48"/>
        <w:ind w:left="496"/>
      </w:pPr>
      <w:r>
        <w:rPr/>
        <w:t>výroby a cen oproti prvnímu pololetí 2020.</w:t>
      </w:r>
    </w:p>
    <w:p>
      <w:pPr>
        <w:pStyle w:val="BodyText"/>
        <w:spacing w:line="288" w:lineRule="auto" w:before="172"/>
        <w:ind w:left="496" w:right="228"/>
        <w:jc w:val="both"/>
      </w:pPr>
      <w:r>
        <w:rPr>
          <w:b/>
        </w:rPr>
        <w:t>Podíl Financování prodejů na operativní marži skupiny dosáhl 593 milionů eur </w:t>
      </w:r>
      <w:r>
        <w:rPr/>
        <w:t>oproti 469 milionů eur za první pololetí 2020. Tato progrese vyplývá hlavně ze snížení nákladů na rizika. Náklady na rizika dosáhly 0,16 % produktivních aktiv oproti 0,99 % za první pololetí 2020, odrážejí obnovení normálních tržních podmínek a příznivý vývoj zálohování ke konci června 2021. Účelové náklady představují 1,35 % průměrných produktivních aktiv oproti 1,29 % za 1. pololetí 2020. Tato změna se vysvětluje značným snížením průměrných produktivních aktiv sítě ve spojení se strategií optimalizace zásob vozů.</w:t>
      </w:r>
    </w:p>
    <w:p>
      <w:pPr>
        <w:spacing w:before="119"/>
        <w:ind w:left="496" w:right="0" w:firstLine="0"/>
        <w:jc w:val="both"/>
        <w:rPr>
          <w:sz w:val="18"/>
        </w:rPr>
      </w:pPr>
      <w:r>
        <w:rPr>
          <w:b/>
          <w:sz w:val="18"/>
        </w:rPr>
        <w:t>Ostatní produkty a provozní náklady </w:t>
      </w:r>
      <w:r>
        <w:rPr>
          <w:sz w:val="18"/>
        </w:rPr>
        <w:t>jsou mínusové ve výši -83 milionů eur (oproti -804 milionů eur za první pololetí 2020),</w:t>
      </w:r>
    </w:p>
    <w:p>
      <w:pPr>
        <w:pStyle w:val="BodyText"/>
        <w:spacing w:before="52"/>
        <w:ind w:left="496"/>
        <w:jc w:val="both"/>
      </w:pPr>
      <w:r>
        <w:rPr/>
        <w:t>což způsobily zejména zálohy na náklady na restrukturalizaci.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56.825001pt;margin-top:12.046406pt;width:235.05pt;height:.1pt;mso-position-horizontal-relative:page;mso-position-vertical-relative:paragraph;z-index:-15728128;mso-wrap-distance-left:0;mso-wrap-distance-right:0" coordorigin="1137,241" coordsize="4701,0" path="m1137,241l5837,241e" filled="false" stroked="true" strokeweight=".6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90" w:lineRule="auto" w:before="100"/>
        <w:ind w:left="496" w:right="209"/>
      </w:pPr>
      <w:r>
        <w:rPr/>
        <w:t>1 Za účelem analyzování změn konsolidovaného obratu při konstantním směnném kursu Renault Group přepočítává obrat za účetní období, k čemuž používá průměrné směnné kursy za předchozí období.</w:t>
      </w:r>
    </w:p>
    <w:p>
      <w:pPr>
        <w:spacing w:after="0" w:line="290" w:lineRule="auto"/>
        <w:sectPr>
          <w:pgSz w:w="11910" w:h="16840"/>
          <w:pgMar w:header="0" w:footer="862" w:top="1560" w:bottom="1060" w:left="640" w:right="620"/>
        </w:sectPr>
      </w:pPr>
    </w:p>
    <w:p>
      <w:pPr>
        <w:spacing w:before="78"/>
        <w:ind w:left="496" w:right="0" w:firstLine="0"/>
        <w:jc w:val="both"/>
        <w:rPr>
          <w:sz w:val="18"/>
        </w:rPr>
      </w:pPr>
      <w:r>
        <w:rPr>
          <w:sz w:val="18"/>
        </w:rPr>
        <w:t>Po zaúčtování ostatních produktů a provozních nákladů dosáhl </w:t>
      </w:r>
      <w:r>
        <w:rPr>
          <w:b/>
          <w:sz w:val="18"/>
        </w:rPr>
        <w:t>provozní výsledek skupiny 571 milionů eur </w:t>
      </w:r>
      <w:r>
        <w:rPr>
          <w:sz w:val="18"/>
        </w:rPr>
        <w:t>oproti -2 007</w:t>
      </w:r>
    </w:p>
    <w:p>
      <w:pPr>
        <w:pStyle w:val="BodyText"/>
        <w:ind w:left="496"/>
        <w:jc w:val="both"/>
      </w:pPr>
      <w:r>
        <w:rPr/>
        <w:t>milionů eur za první pololetí 2020.</w:t>
      </w:r>
    </w:p>
    <w:p>
      <w:pPr>
        <w:pStyle w:val="BodyText"/>
      </w:pPr>
    </w:p>
    <w:p>
      <w:pPr>
        <w:spacing w:before="0"/>
        <w:ind w:left="496" w:right="0" w:firstLine="0"/>
        <w:jc w:val="both"/>
        <w:rPr>
          <w:sz w:val="18"/>
        </w:rPr>
      </w:pPr>
      <w:r>
        <w:rPr>
          <w:b/>
          <w:sz w:val="18"/>
        </w:rPr>
        <w:t>Finanční výsledek </w:t>
      </w:r>
      <w:r>
        <w:rPr>
          <w:sz w:val="18"/>
        </w:rPr>
        <w:t>dosáhl -163 milionů eur oproti -214 milionů eur za první pololetí 2020.</w:t>
      </w:r>
    </w:p>
    <w:p>
      <w:pPr>
        <w:spacing w:before="1"/>
        <w:ind w:left="496" w:right="227" w:firstLine="0"/>
        <w:jc w:val="both"/>
        <w:rPr>
          <w:i/>
          <w:sz w:val="18"/>
        </w:rPr>
      </w:pPr>
      <w:r>
        <w:rPr>
          <w:b/>
          <w:sz w:val="18"/>
        </w:rPr>
        <w:t>Příspěvek přidružených podniků </w:t>
      </w:r>
      <w:r>
        <w:rPr>
          <w:sz w:val="18"/>
        </w:rPr>
        <w:t>dosáhl 160 milionů eur oproti -4 892 milionů eur za první pololetí 2020. Pro úplnost: příspěvek Nissanu za první pololetí 2020 zahrnoval pokles aktiv a náklady na restrukturalizaci -4 290 milionů eur, z toho -1 934 milionů eur úpravy IFRS </w:t>
      </w:r>
      <w:r>
        <w:rPr>
          <w:i/>
          <w:sz w:val="18"/>
        </w:rPr>
        <w:t>(Mezinárodní standardy účetního výkaznictví).</w:t>
      </w: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spacing w:before="1"/>
        <w:ind w:left="496"/>
        <w:jc w:val="both"/>
      </w:pPr>
      <w:r>
        <w:rPr>
          <w:b/>
        </w:rPr>
        <w:t>Běžné a odložené daně </w:t>
      </w:r>
      <w:r>
        <w:rPr/>
        <w:t>představují zatížení 200 milionů eur oproti zatížení 273 milionů eur za první pololetí 2020.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496" w:right="226" w:firstLine="0"/>
        <w:jc w:val="both"/>
        <w:rPr>
          <w:sz w:val="18"/>
        </w:rPr>
      </w:pPr>
      <w:r>
        <w:rPr>
          <w:b/>
          <w:sz w:val="18"/>
        </w:rPr>
        <w:t>Netto výsledek dosáhl 368 milionů </w:t>
      </w:r>
      <w:r>
        <w:rPr>
          <w:sz w:val="18"/>
        </w:rPr>
        <w:t>eur a netto výsledek podílu skupiny 354 milionů eur (1,30 eur na akcii oproti -26,91 eur na akcii za první pololetí 2020).</w:t>
      </w:r>
    </w:p>
    <w:p>
      <w:pPr>
        <w:pStyle w:val="BodyText"/>
        <w:spacing w:before="1"/>
      </w:pPr>
    </w:p>
    <w:p>
      <w:pPr>
        <w:pStyle w:val="BodyText"/>
        <w:ind w:left="496" w:right="232"/>
        <w:jc w:val="both"/>
      </w:pPr>
      <w:r>
        <w:rPr>
          <w:b/>
        </w:rPr>
        <w:t>Operativní free cash-flow </w:t>
      </w:r>
      <w:r>
        <w:rPr/>
        <w:t>za Automobile je mínusový ve výši -70 milionů eur, po zaúčtování plateb z titulu výloh na restrukturalizaci 302 milionů eur, plusového free cash-flow AVTOVAZ 294 milionů eur a negativního dopadu změny potřeby provozního kapitálu ve výši -410 milionů</w:t>
      </w:r>
      <w:r>
        <w:rPr>
          <w:spacing w:val="-7"/>
        </w:rPr>
        <w:t> </w:t>
      </w:r>
      <w:r>
        <w:rPr/>
        <w:t>eur.</w:t>
      </w:r>
    </w:p>
    <w:p>
      <w:pPr>
        <w:pStyle w:val="BodyText"/>
        <w:spacing w:before="1"/>
        <w:ind w:left="496" w:right="232"/>
        <w:jc w:val="both"/>
      </w:pPr>
      <w:r>
        <w:rPr/>
        <w:t>Kapacita samofinancování činnosti Automobile mimo AVTOVAZ a mimo náklady na restrukturalizaci dosáhla 1,8 miliard eur (oproti 22 milionů eur za první pololetí</w:t>
      </w:r>
      <w:r>
        <w:rPr>
          <w:spacing w:val="-11"/>
        </w:rPr>
        <w:t> </w:t>
      </w:r>
      <w:r>
        <w:rPr/>
        <w:t>2020).</w:t>
      </w:r>
    </w:p>
    <w:p>
      <w:pPr>
        <w:pStyle w:val="BodyText"/>
        <w:spacing w:before="1"/>
        <w:ind w:left="496"/>
        <w:jc w:val="both"/>
      </w:pPr>
      <w:r>
        <w:rPr/>
        <w:t>Investice za pololetí dosáhly 1,5 miliardy eur oproti 2,5 miliardám eur za první pololetí 2020.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96"/>
        <w:jc w:val="both"/>
      </w:pPr>
      <w:r>
        <w:rPr>
          <w:b/>
        </w:rPr>
        <w:t>Celkové zásoby </w:t>
      </w:r>
      <w:r>
        <w:rPr/>
        <w:t>(včetně nezávislé sítě) k 30. červnu 2021 představují 427 000 vozů oproti 547 000 ke konci června 2020.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496"/>
        <w:jc w:val="both"/>
      </w:pPr>
      <w:r>
        <w:rPr/>
        <w:t>Rezervy likvidních prostředků na činnost Automobile k 30. červnu 2021 činí 16,7 miliard eur. Netto dluh Automobile se k 30.</w:t>
      </w:r>
    </w:p>
    <w:p>
      <w:pPr>
        <w:pStyle w:val="BodyText"/>
        <w:spacing w:before="53"/>
        <w:ind w:left="496"/>
        <w:jc w:val="both"/>
      </w:pPr>
      <w:r>
        <w:rPr/>
        <w:t>červnu 2021 snížil o 0,8 miliardy eur na 2,7 miliardy eur.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496" w:right="0" w:firstLine="0"/>
        <w:jc w:val="both"/>
        <w:rPr>
          <w:sz w:val="36"/>
        </w:rPr>
      </w:pPr>
      <w:r>
        <w:rPr>
          <w:color w:val="BC9B5D"/>
          <w:sz w:val="36"/>
        </w:rPr>
        <w:t>Výhled na 2021</w:t>
      </w:r>
    </w:p>
    <w:p>
      <w:pPr>
        <w:pStyle w:val="BodyText"/>
        <w:spacing w:before="251"/>
        <w:ind w:left="496" w:right="238"/>
        <w:jc w:val="both"/>
      </w:pPr>
      <w:r>
        <w:rPr/>
        <w:t>Navzdory</w:t>
      </w:r>
      <w:r>
        <w:rPr>
          <w:spacing w:val="-14"/>
        </w:rPr>
        <w:t> </w:t>
      </w:r>
      <w:r>
        <w:rPr/>
        <w:t>nejistotě</w:t>
      </w:r>
      <w:r>
        <w:rPr>
          <w:spacing w:val="-7"/>
        </w:rPr>
        <w:t> </w:t>
      </w:r>
      <w:r>
        <w:rPr/>
        <w:t>vznášející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nad</w:t>
      </w:r>
      <w:r>
        <w:rPr>
          <w:spacing w:val="-10"/>
        </w:rPr>
        <w:t> </w:t>
      </w:r>
      <w:r>
        <w:rPr/>
        <w:t>poptávkou,</w:t>
      </w:r>
      <w:r>
        <w:rPr>
          <w:spacing w:val="-11"/>
        </w:rPr>
        <w:t> </w:t>
      </w:r>
      <w:r>
        <w:rPr/>
        <w:t>dalším</w:t>
      </w:r>
      <w:r>
        <w:rPr>
          <w:spacing w:val="-9"/>
        </w:rPr>
        <w:t> </w:t>
      </w:r>
      <w:r>
        <w:rPr/>
        <w:t>negativním</w:t>
      </w:r>
      <w:r>
        <w:rPr>
          <w:spacing w:val="-9"/>
        </w:rPr>
        <w:t> </w:t>
      </w:r>
      <w:r>
        <w:rPr/>
        <w:t>dopadům</w:t>
      </w:r>
      <w:r>
        <w:rPr>
          <w:spacing w:val="-10"/>
        </w:rPr>
        <w:t> </w:t>
      </w:r>
      <w:r>
        <w:rPr/>
        <w:t>krize</w:t>
      </w:r>
      <w:r>
        <w:rPr>
          <w:spacing w:val="-11"/>
        </w:rPr>
        <w:t> </w:t>
      </w:r>
      <w:r>
        <w:rPr/>
        <w:t>v</w:t>
      </w:r>
      <w:r>
        <w:rPr>
          <w:spacing w:val="-9"/>
        </w:rPr>
        <w:t> </w:t>
      </w:r>
      <w:r>
        <w:rPr/>
        <w:t>dodávkách</w:t>
      </w:r>
      <w:r>
        <w:rPr>
          <w:spacing w:val="-13"/>
        </w:rPr>
        <w:t> </w:t>
      </w:r>
      <w:r>
        <w:rPr/>
        <w:t>komponentů,</w:t>
      </w:r>
      <w:r>
        <w:rPr>
          <w:spacing w:val="-10"/>
        </w:rPr>
        <w:t> </w:t>
      </w:r>
      <w:r>
        <w:rPr/>
        <w:t>která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mohla vést</w:t>
      </w:r>
      <w:r>
        <w:rPr>
          <w:spacing w:val="-9"/>
        </w:rPr>
        <w:t> </w:t>
      </w:r>
      <w:r>
        <w:rPr/>
        <w:t>k</w:t>
      </w:r>
      <w:r>
        <w:rPr>
          <w:spacing w:val="-6"/>
        </w:rPr>
        <w:t> </w:t>
      </w:r>
      <w:r>
        <w:rPr/>
        <w:t>poklesu</w:t>
      </w:r>
      <w:r>
        <w:rPr>
          <w:spacing w:val="-5"/>
        </w:rPr>
        <w:t> </w:t>
      </w:r>
      <w:r>
        <w:rPr/>
        <w:t>výroby</w:t>
      </w:r>
      <w:r>
        <w:rPr>
          <w:spacing w:val="-5"/>
        </w:rPr>
        <w:t> </w:t>
      </w:r>
      <w:r>
        <w:rPr/>
        <w:t>řádově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200</w:t>
      </w:r>
      <w:r>
        <w:rPr>
          <w:spacing w:val="-6"/>
        </w:rPr>
        <w:t> </w:t>
      </w:r>
      <w:r>
        <w:rPr/>
        <w:t>000</w:t>
      </w:r>
      <w:r>
        <w:rPr>
          <w:spacing w:val="-5"/>
        </w:rPr>
        <w:t> </w:t>
      </w:r>
      <w:r>
        <w:rPr/>
        <w:t>vozů</w:t>
      </w:r>
      <w:r>
        <w:rPr>
          <w:spacing w:val="-6"/>
        </w:rPr>
        <w:t> </w:t>
      </w:r>
      <w:r>
        <w:rPr/>
        <w:t>ročně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k</w:t>
      </w:r>
      <w:r>
        <w:rPr>
          <w:spacing w:val="-6"/>
        </w:rPr>
        <w:t> </w:t>
      </w:r>
      <w:r>
        <w:rPr/>
        <w:t>růstu</w:t>
      </w:r>
      <w:r>
        <w:rPr>
          <w:spacing w:val="-5"/>
        </w:rPr>
        <w:t> </w:t>
      </w:r>
      <w:r>
        <w:rPr/>
        <w:t>cen</w:t>
      </w:r>
      <w:r>
        <w:rPr>
          <w:spacing w:val="-4"/>
        </w:rPr>
        <w:t> </w:t>
      </w:r>
      <w:r>
        <w:rPr/>
        <w:t>surovin,</w:t>
      </w:r>
      <w:r>
        <w:rPr>
          <w:spacing w:val="-5"/>
        </w:rPr>
        <w:t> </w:t>
      </w:r>
      <w:r>
        <w:rPr/>
        <w:t>hodlá</w:t>
      </w:r>
      <w:r>
        <w:rPr>
          <w:spacing w:val="-7"/>
        </w:rPr>
        <w:t> </w:t>
      </w:r>
      <w:r>
        <w:rPr/>
        <w:t>Renault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dosáhnout</w:t>
      </w:r>
      <w:r>
        <w:rPr>
          <w:spacing w:val="-9"/>
        </w:rPr>
        <w:t> </w:t>
      </w:r>
      <w:r>
        <w:rPr/>
        <w:t>řádově</w:t>
      </w:r>
      <w:r>
        <w:rPr>
          <w:spacing w:val="-6"/>
        </w:rPr>
        <w:t> </w:t>
      </w:r>
      <w:r>
        <w:rPr/>
        <w:t>stejné</w:t>
      </w:r>
      <w:r>
        <w:rPr>
          <w:spacing w:val="-7"/>
        </w:rPr>
        <w:t> </w:t>
      </w:r>
      <w:r>
        <w:rPr/>
        <w:t>roční míry operativní marže jako v prvním</w:t>
      </w:r>
      <w:r>
        <w:rPr>
          <w:spacing w:val="-10"/>
        </w:rPr>
        <w:t> </w:t>
      </w:r>
      <w:r>
        <w:rPr/>
        <w:t>pololetí.</w:t>
      </w:r>
    </w:p>
    <w:p>
      <w:pPr>
        <w:spacing w:after="0"/>
        <w:jc w:val="both"/>
        <w:sectPr>
          <w:pgSz w:w="11910" w:h="16840"/>
          <w:pgMar w:header="0" w:footer="862" w:top="1480" w:bottom="1060" w:left="640" w:right="620"/>
        </w:sectPr>
      </w:pPr>
    </w:p>
    <w:p>
      <w:pPr>
        <w:pStyle w:val="Heading2"/>
        <w:spacing w:before="79"/>
      </w:pPr>
      <w:r>
        <w:rPr>
          <w:color w:val="BC9B5D"/>
        </w:rPr>
        <w:t>Konsolidované výsledky Renault Group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1249"/>
        <w:gridCol w:w="1245"/>
        <w:gridCol w:w="1249"/>
        <w:gridCol w:w="1294"/>
        <w:gridCol w:w="1290"/>
      </w:tblGrid>
      <w:tr>
        <w:trPr>
          <w:trHeight w:val="1238" w:hRule="atLeast"/>
        </w:trPr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 milionech eur</w:t>
            </w:r>
          </w:p>
        </w:tc>
        <w:tc>
          <w:tcPr>
            <w:tcW w:w="1249" w:type="dxa"/>
          </w:tcPr>
          <w:p>
            <w:pPr>
              <w:pStyle w:val="TableParagraph"/>
              <w:ind w:right="389"/>
              <w:rPr>
                <w:sz w:val="18"/>
              </w:rPr>
            </w:pPr>
            <w:r>
              <w:rPr>
                <w:sz w:val="18"/>
              </w:rPr>
              <w:t>1.pol. 2019</w:t>
            </w:r>
          </w:p>
        </w:tc>
        <w:tc>
          <w:tcPr>
            <w:tcW w:w="1245" w:type="dxa"/>
          </w:tcPr>
          <w:p>
            <w:pPr>
              <w:pStyle w:val="TableParagraph"/>
              <w:ind w:left="386" w:right="390"/>
              <w:rPr>
                <w:sz w:val="18"/>
              </w:rPr>
            </w:pPr>
            <w:r>
              <w:rPr>
                <w:sz w:val="18"/>
              </w:rPr>
              <w:t>1.pol. 2020</w:t>
            </w:r>
          </w:p>
        </w:tc>
        <w:tc>
          <w:tcPr>
            <w:tcW w:w="1249" w:type="dxa"/>
          </w:tcPr>
          <w:p>
            <w:pPr>
              <w:pStyle w:val="TableParagraph"/>
              <w:ind w:left="390" w:right="390"/>
              <w:rPr>
                <w:sz w:val="18"/>
              </w:rPr>
            </w:pPr>
            <w:r>
              <w:rPr>
                <w:sz w:val="18"/>
              </w:rPr>
              <w:t>1.pol. 2021</w:t>
            </w:r>
          </w:p>
        </w:tc>
        <w:tc>
          <w:tcPr>
            <w:tcW w:w="1294" w:type="dxa"/>
          </w:tcPr>
          <w:p>
            <w:pPr>
              <w:pStyle w:val="TableParagraph"/>
              <w:ind w:left="385" w:right="325"/>
              <w:rPr>
                <w:sz w:val="18"/>
              </w:rPr>
            </w:pPr>
            <w:r>
              <w:rPr>
                <w:sz w:val="18"/>
              </w:rPr>
              <w:t>Změna 1.pol. 2021/</w:t>
            </w:r>
          </w:p>
          <w:p>
            <w:pPr>
              <w:pStyle w:val="TableParagraph"/>
              <w:spacing w:line="250" w:lineRule="atLeast"/>
              <w:ind w:left="385" w:right="440"/>
              <w:rPr>
                <w:sz w:val="18"/>
              </w:rPr>
            </w:pPr>
            <w:r>
              <w:rPr>
                <w:sz w:val="18"/>
              </w:rPr>
              <w:t>1.pol. 2019</w:t>
            </w:r>
          </w:p>
        </w:tc>
        <w:tc>
          <w:tcPr>
            <w:tcW w:w="1290" w:type="dxa"/>
          </w:tcPr>
          <w:p>
            <w:pPr>
              <w:pStyle w:val="TableParagraph"/>
              <w:ind w:left="388" w:right="318"/>
              <w:rPr>
                <w:sz w:val="18"/>
              </w:rPr>
            </w:pPr>
            <w:r>
              <w:rPr>
                <w:sz w:val="18"/>
              </w:rPr>
              <w:t>Změna 1.pol. 2021/</w:t>
            </w:r>
          </w:p>
          <w:p>
            <w:pPr>
              <w:pStyle w:val="TableParagraph"/>
              <w:spacing w:line="250" w:lineRule="atLeast"/>
              <w:ind w:left="388" w:right="433"/>
              <w:rPr>
                <w:sz w:val="18"/>
              </w:rPr>
            </w:pPr>
            <w:r>
              <w:rPr>
                <w:sz w:val="18"/>
              </w:rPr>
              <w:t>1.pol. 2020</w:t>
            </w:r>
          </w:p>
        </w:tc>
      </w:tr>
      <w:tr>
        <w:trPr>
          <w:trHeight w:val="488" w:hRule="atLeast"/>
        </w:trPr>
        <w:tc>
          <w:tcPr>
            <w:tcW w:w="2341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sz w:val="18"/>
              </w:rPr>
              <w:t>Obrat skupiny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sz w:val="18"/>
              </w:rPr>
              <w:t>28 050</w:t>
            </w: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386"/>
              <w:rPr>
                <w:sz w:val="18"/>
              </w:rPr>
            </w:pPr>
            <w:r>
              <w:rPr>
                <w:sz w:val="18"/>
              </w:rPr>
              <w:t>18 425</w:t>
            </w:r>
          </w:p>
        </w:tc>
        <w:tc>
          <w:tcPr>
            <w:tcW w:w="1249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23 357</w:t>
            </w:r>
          </w:p>
        </w:tc>
        <w:tc>
          <w:tcPr>
            <w:tcW w:w="1294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385"/>
              <w:rPr>
                <w:sz w:val="18"/>
              </w:rPr>
            </w:pPr>
            <w:r>
              <w:rPr>
                <w:sz w:val="18"/>
              </w:rPr>
              <w:t>-16,7%</w:t>
            </w:r>
          </w:p>
        </w:tc>
        <w:tc>
          <w:tcPr>
            <w:tcW w:w="1290" w:type="dxa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26" w:lineRule="exact"/>
              <w:ind w:left="388"/>
              <w:rPr>
                <w:sz w:val="18"/>
              </w:rPr>
            </w:pPr>
            <w:r>
              <w:rPr>
                <w:sz w:val="18"/>
              </w:rPr>
              <w:t>+26,8 %</w:t>
            </w:r>
          </w:p>
        </w:tc>
      </w:tr>
      <w:tr>
        <w:trPr>
          <w:trHeight w:val="493" w:hRule="atLeast"/>
        </w:trPr>
        <w:tc>
          <w:tcPr>
            <w:tcW w:w="2341" w:type="dxa"/>
          </w:tcPr>
          <w:p>
            <w:pPr>
              <w:pStyle w:val="TableParagraph"/>
              <w:spacing w:line="246" w:lineRule="exact" w:before="4"/>
              <w:rPr>
                <w:sz w:val="18"/>
              </w:rPr>
            </w:pPr>
            <w:r>
              <w:rPr>
                <w:sz w:val="18"/>
              </w:rPr>
              <w:t>Operativní marže</w:t>
            </w:r>
          </w:p>
          <w:p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V % obratu</w:t>
            </w:r>
          </w:p>
        </w:tc>
        <w:tc>
          <w:tcPr>
            <w:tcW w:w="1249" w:type="dxa"/>
          </w:tcPr>
          <w:p>
            <w:pPr>
              <w:pStyle w:val="TableParagraph"/>
              <w:spacing w:line="246" w:lineRule="exact" w:before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654</w:t>
            </w:r>
          </w:p>
          <w:p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18"/>
              </w:rPr>
              <w:t>5,9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245" w:type="dxa"/>
          </w:tcPr>
          <w:p>
            <w:pPr>
              <w:pStyle w:val="TableParagraph"/>
              <w:spacing w:line="246" w:lineRule="exact" w:before="4"/>
              <w:ind w:left="386"/>
              <w:rPr>
                <w:sz w:val="18"/>
              </w:rPr>
            </w:pPr>
            <w:r>
              <w:rPr>
                <w:sz w:val="18"/>
              </w:rPr>
              <w:t>-1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203</w:t>
            </w:r>
          </w:p>
          <w:p>
            <w:pPr>
              <w:pStyle w:val="TableParagraph"/>
              <w:spacing w:line="224" w:lineRule="exact"/>
              <w:ind w:left="38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249" w:type="dxa"/>
          </w:tcPr>
          <w:p>
            <w:pPr>
              <w:pStyle w:val="TableParagraph"/>
              <w:spacing w:line="246" w:lineRule="exact" w:before="4"/>
              <w:ind w:left="390"/>
              <w:rPr>
                <w:sz w:val="18"/>
              </w:rPr>
            </w:pPr>
            <w:r>
              <w:rPr>
                <w:sz w:val="18"/>
              </w:rPr>
              <w:t>654</w:t>
            </w:r>
          </w:p>
          <w:p>
            <w:pPr>
              <w:pStyle w:val="TableParagraph"/>
              <w:spacing w:line="224" w:lineRule="exact"/>
              <w:ind w:left="390"/>
              <w:rPr>
                <w:sz w:val="18"/>
              </w:rPr>
            </w:pPr>
            <w:r>
              <w:rPr>
                <w:sz w:val="18"/>
              </w:rPr>
              <w:t>2,8 %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 w:before="4"/>
              <w:ind w:left="385"/>
              <w:rPr>
                <w:sz w:val="18"/>
              </w:rPr>
            </w:pPr>
            <w:r>
              <w:rPr>
                <w:sz w:val="18"/>
              </w:rPr>
              <w:t>-1 000</w:t>
            </w:r>
          </w:p>
          <w:p>
            <w:pPr>
              <w:pStyle w:val="TableParagraph"/>
              <w:spacing w:line="224" w:lineRule="exact"/>
              <w:ind w:left="385"/>
              <w:rPr>
                <w:sz w:val="18"/>
              </w:rPr>
            </w:pPr>
            <w:r>
              <w:rPr>
                <w:sz w:val="18"/>
              </w:rPr>
              <w:t>-3,1 bodů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 w:before="4"/>
              <w:ind w:left="388"/>
              <w:rPr>
                <w:sz w:val="18"/>
              </w:rPr>
            </w:pPr>
            <w:r>
              <w:rPr>
                <w:sz w:val="18"/>
              </w:rPr>
              <w:t>+1 857</w:t>
            </w:r>
          </w:p>
          <w:p>
            <w:pPr>
              <w:pStyle w:val="TableParagraph"/>
              <w:spacing w:line="224" w:lineRule="exact"/>
              <w:ind w:left="388"/>
              <w:rPr>
                <w:sz w:val="18"/>
              </w:rPr>
            </w:pPr>
            <w:r>
              <w:rPr>
                <w:sz w:val="18"/>
              </w:rPr>
              <w:t>+9,3 bodů</w:t>
            </w:r>
          </w:p>
        </w:tc>
      </w:tr>
      <w:tr>
        <w:trPr>
          <w:trHeight w:val="498" w:hRule="atLeast"/>
        </w:trPr>
        <w:tc>
          <w:tcPr>
            <w:tcW w:w="2341" w:type="dxa"/>
          </w:tcPr>
          <w:p>
            <w:pPr>
              <w:pStyle w:val="TableParagraph"/>
              <w:tabs>
                <w:tab w:pos="1190" w:val="left" w:leader="none"/>
                <w:tab w:pos="2130" w:val="left" w:leader="none"/>
              </w:tabs>
              <w:spacing w:line="240" w:lineRule="atLeast" w:before="4"/>
              <w:ind w:right="102"/>
              <w:rPr>
                <w:sz w:val="18"/>
              </w:rPr>
            </w:pPr>
            <w:r>
              <w:rPr>
                <w:sz w:val="18"/>
              </w:rPr>
              <w:t>Ostatní</w:t>
              <w:tab/>
              <w:t>produkty</w:t>
              <w:tab/>
            </w:r>
            <w:r>
              <w:rPr>
                <w:spacing w:val="-17"/>
                <w:sz w:val="18"/>
              </w:rPr>
              <w:t>a </w:t>
            </w:r>
            <w:r>
              <w:rPr>
                <w:sz w:val="18"/>
              </w:rPr>
              <w:t>provozní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náklady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-133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386"/>
              <w:rPr>
                <w:sz w:val="18"/>
              </w:rPr>
            </w:pPr>
            <w:r>
              <w:rPr>
                <w:sz w:val="18"/>
              </w:rPr>
              <w:t>-804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ind w:left="390"/>
              <w:rPr>
                <w:sz w:val="18"/>
              </w:rPr>
            </w:pPr>
            <w:r>
              <w:rPr>
                <w:sz w:val="18"/>
              </w:rPr>
              <w:t>-83</w:t>
            </w:r>
          </w:p>
        </w:tc>
        <w:tc>
          <w:tcPr>
            <w:tcW w:w="1294" w:type="dxa"/>
          </w:tcPr>
          <w:p>
            <w:pPr>
              <w:pStyle w:val="TableParagraph"/>
              <w:spacing w:before="4"/>
              <w:ind w:left="385"/>
              <w:rPr>
                <w:sz w:val="18"/>
              </w:rPr>
            </w:pPr>
            <w:r>
              <w:rPr>
                <w:sz w:val="18"/>
              </w:rPr>
              <w:t>+50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left="388"/>
              <w:rPr>
                <w:sz w:val="18"/>
              </w:rPr>
            </w:pPr>
            <w:r>
              <w:rPr>
                <w:sz w:val="18"/>
              </w:rPr>
              <w:t>+721</w:t>
            </w:r>
          </w:p>
        </w:tc>
      </w:tr>
      <w:tr>
        <w:trPr>
          <w:trHeight w:val="244" w:hRule="atLeast"/>
        </w:trPr>
        <w:tc>
          <w:tcPr>
            <w:tcW w:w="2341" w:type="dxa"/>
          </w:tcPr>
          <w:p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18"/>
              </w:rPr>
              <w:t>Provozní výsledek</w:t>
            </w:r>
          </w:p>
        </w:tc>
        <w:tc>
          <w:tcPr>
            <w:tcW w:w="1249" w:type="dxa"/>
          </w:tcPr>
          <w:p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18"/>
              </w:rPr>
              <w:t>1 521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386"/>
              <w:rPr>
                <w:sz w:val="18"/>
              </w:rPr>
            </w:pPr>
            <w:r>
              <w:rPr>
                <w:sz w:val="18"/>
              </w:rPr>
              <w:t>-2 007</w:t>
            </w:r>
          </w:p>
        </w:tc>
        <w:tc>
          <w:tcPr>
            <w:tcW w:w="1249" w:type="dxa"/>
          </w:tcPr>
          <w:p>
            <w:pPr>
              <w:pStyle w:val="TableParagraph"/>
              <w:spacing w:line="225" w:lineRule="exact"/>
              <w:ind w:left="390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1294" w:type="dxa"/>
          </w:tcPr>
          <w:p>
            <w:pPr>
              <w:pStyle w:val="TableParagraph"/>
              <w:spacing w:line="225" w:lineRule="exact"/>
              <w:ind w:left="385"/>
              <w:rPr>
                <w:sz w:val="18"/>
              </w:rPr>
            </w:pPr>
            <w:r>
              <w:rPr>
                <w:sz w:val="18"/>
              </w:rPr>
              <w:t>-950</w:t>
            </w:r>
          </w:p>
        </w:tc>
        <w:tc>
          <w:tcPr>
            <w:tcW w:w="1290" w:type="dxa"/>
          </w:tcPr>
          <w:p>
            <w:pPr>
              <w:pStyle w:val="TableParagraph"/>
              <w:spacing w:line="225" w:lineRule="exact"/>
              <w:ind w:left="388"/>
              <w:rPr>
                <w:sz w:val="18"/>
              </w:rPr>
            </w:pPr>
            <w:r>
              <w:rPr>
                <w:sz w:val="18"/>
              </w:rPr>
              <w:t>+2 578</w:t>
            </w:r>
          </w:p>
        </w:tc>
      </w:tr>
      <w:tr>
        <w:trPr>
          <w:trHeight w:val="250" w:hRule="atLeast"/>
        </w:trPr>
        <w:tc>
          <w:tcPr>
            <w:tcW w:w="2341" w:type="dxa"/>
          </w:tcPr>
          <w:p>
            <w:pPr>
              <w:pStyle w:val="TableParagraph"/>
              <w:spacing w:line="226" w:lineRule="exact" w:before="5"/>
              <w:rPr>
                <w:sz w:val="18"/>
              </w:rPr>
            </w:pPr>
            <w:r>
              <w:rPr>
                <w:sz w:val="18"/>
              </w:rPr>
              <w:t>Finanční výsledek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 w:before="5"/>
              <w:rPr>
                <w:sz w:val="18"/>
              </w:rPr>
            </w:pPr>
            <w:r>
              <w:rPr>
                <w:sz w:val="18"/>
              </w:rPr>
              <w:t>-184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 w:before="5"/>
              <w:ind w:left="386"/>
              <w:rPr>
                <w:sz w:val="18"/>
              </w:rPr>
            </w:pPr>
            <w:r>
              <w:rPr>
                <w:sz w:val="18"/>
              </w:rPr>
              <w:t>-214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 w:before="5"/>
              <w:ind w:left="390"/>
              <w:rPr>
                <w:sz w:val="18"/>
              </w:rPr>
            </w:pPr>
            <w:r>
              <w:rPr>
                <w:sz w:val="18"/>
              </w:rPr>
              <w:t>-163</w:t>
            </w:r>
          </w:p>
        </w:tc>
        <w:tc>
          <w:tcPr>
            <w:tcW w:w="1294" w:type="dxa"/>
          </w:tcPr>
          <w:p>
            <w:pPr>
              <w:pStyle w:val="TableParagraph"/>
              <w:spacing w:line="226" w:lineRule="exact" w:before="5"/>
              <w:ind w:left="38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1290" w:type="dxa"/>
          </w:tcPr>
          <w:p>
            <w:pPr>
              <w:pStyle w:val="TableParagraph"/>
              <w:spacing w:line="226" w:lineRule="exact" w:before="5"/>
              <w:ind w:left="388"/>
              <w:rPr>
                <w:sz w:val="18"/>
              </w:rPr>
            </w:pPr>
            <w:r>
              <w:rPr>
                <w:sz w:val="18"/>
              </w:rPr>
              <w:t>+51</w:t>
            </w:r>
          </w:p>
        </w:tc>
      </w:tr>
      <w:tr>
        <w:trPr>
          <w:trHeight w:val="741" w:hRule="atLeast"/>
        </w:trPr>
        <w:tc>
          <w:tcPr>
            <w:tcW w:w="2341" w:type="dxa"/>
          </w:tcPr>
          <w:p>
            <w:pPr>
              <w:pStyle w:val="TableParagraph"/>
              <w:tabs>
                <w:tab w:pos="1198" w:val="left" w:leader="none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Podíl</w:t>
              <w:tab/>
            </w:r>
            <w:r>
              <w:rPr>
                <w:spacing w:val="-3"/>
                <w:sz w:val="18"/>
              </w:rPr>
              <w:t>ekvivalentně </w:t>
            </w:r>
            <w:r>
              <w:rPr>
                <w:spacing w:val="-1"/>
                <w:sz w:val="18"/>
              </w:rPr>
              <w:t>účtovanýchspolečností</w:t>
            </w:r>
          </w:p>
          <w:p>
            <w:pPr>
              <w:pStyle w:val="TableParagraph"/>
              <w:spacing w:line="226" w:lineRule="exact" w:before="1"/>
              <w:rPr>
                <w:sz w:val="18"/>
              </w:rPr>
            </w:pPr>
            <w:r>
              <w:rPr>
                <w:sz w:val="18"/>
              </w:rPr>
              <w:t>na výsledku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-35</w:t>
            </w:r>
          </w:p>
        </w:tc>
        <w:tc>
          <w:tcPr>
            <w:tcW w:w="1245" w:type="dxa"/>
          </w:tcPr>
          <w:p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-4 892</w:t>
            </w:r>
          </w:p>
        </w:tc>
        <w:tc>
          <w:tcPr>
            <w:tcW w:w="1249" w:type="dxa"/>
          </w:tcPr>
          <w:p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94" w:type="dxa"/>
          </w:tcPr>
          <w:p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+195</w:t>
            </w:r>
          </w:p>
        </w:tc>
        <w:tc>
          <w:tcPr>
            <w:tcW w:w="1290" w:type="dxa"/>
          </w:tcPr>
          <w:p>
            <w:pPr>
              <w:pStyle w:val="TableParagraph"/>
              <w:ind w:left="388"/>
              <w:rPr>
                <w:sz w:val="18"/>
              </w:rPr>
            </w:pPr>
            <w:r>
              <w:rPr>
                <w:sz w:val="18"/>
              </w:rPr>
              <w:t>+5 052</w:t>
            </w:r>
          </w:p>
        </w:tc>
      </w:tr>
      <w:tr>
        <w:trPr>
          <w:trHeight w:val="245" w:hRule="atLeast"/>
        </w:trPr>
        <w:tc>
          <w:tcPr>
            <w:tcW w:w="2341" w:type="dxa"/>
          </w:tcPr>
          <w:p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18"/>
              </w:rPr>
              <w:t>Z toho NISSAN</w:t>
            </w:r>
          </w:p>
        </w:tc>
        <w:tc>
          <w:tcPr>
            <w:tcW w:w="1249" w:type="dxa"/>
          </w:tcPr>
          <w:p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exact"/>
              <w:ind w:left="386"/>
              <w:rPr>
                <w:sz w:val="18"/>
              </w:rPr>
            </w:pPr>
            <w:r>
              <w:rPr>
                <w:sz w:val="18"/>
              </w:rPr>
              <w:t>-4 817</w:t>
            </w:r>
          </w:p>
        </w:tc>
        <w:tc>
          <w:tcPr>
            <w:tcW w:w="1249" w:type="dxa"/>
          </w:tcPr>
          <w:p>
            <w:pPr>
              <w:pStyle w:val="TableParagraph"/>
              <w:spacing w:line="225" w:lineRule="exact"/>
              <w:ind w:left="3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25" w:lineRule="exact"/>
              <w:ind w:left="385"/>
              <w:rPr>
                <w:sz w:val="18"/>
              </w:rPr>
            </w:pPr>
            <w:r>
              <w:rPr>
                <w:sz w:val="18"/>
              </w:rPr>
              <w:t>+121</w:t>
            </w:r>
          </w:p>
        </w:tc>
        <w:tc>
          <w:tcPr>
            <w:tcW w:w="1290" w:type="dxa"/>
          </w:tcPr>
          <w:p>
            <w:pPr>
              <w:pStyle w:val="TableParagraph"/>
              <w:spacing w:line="225" w:lineRule="exact"/>
              <w:ind w:left="388"/>
              <w:rPr>
                <w:sz w:val="18"/>
              </w:rPr>
            </w:pPr>
            <w:r>
              <w:rPr>
                <w:sz w:val="18"/>
              </w:rPr>
              <w:t>+4 917</w:t>
            </w:r>
          </w:p>
        </w:tc>
      </w:tr>
      <w:tr>
        <w:trPr>
          <w:trHeight w:val="250" w:hRule="atLeast"/>
        </w:trPr>
        <w:tc>
          <w:tcPr>
            <w:tcW w:w="2341" w:type="dxa"/>
          </w:tcPr>
          <w:p>
            <w:pPr>
              <w:pStyle w:val="TableParagraph"/>
              <w:spacing w:line="226" w:lineRule="exact" w:before="4"/>
              <w:rPr>
                <w:sz w:val="18"/>
              </w:rPr>
            </w:pPr>
            <w:r>
              <w:rPr>
                <w:sz w:val="18"/>
              </w:rPr>
              <w:t>Běžné a odložené daně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 w:before="4"/>
              <w:rPr>
                <w:sz w:val="18"/>
              </w:rPr>
            </w:pPr>
            <w:r>
              <w:rPr>
                <w:sz w:val="18"/>
              </w:rPr>
              <w:t>-254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 w:before="4"/>
              <w:ind w:left="386"/>
              <w:rPr>
                <w:sz w:val="18"/>
              </w:rPr>
            </w:pPr>
            <w:r>
              <w:rPr>
                <w:sz w:val="18"/>
              </w:rPr>
              <w:t>-273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 w:before="4"/>
              <w:ind w:left="390"/>
              <w:rPr>
                <w:sz w:val="18"/>
              </w:rPr>
            </w:pPr>
            <w:r>
              <w:rPr>
                <w:sz w:val="18"/>
              </w:rPr>
              <w:t>-200</w:t>
            </w:r>
          </w:p>
        </w:tc>
        <w:tc>
          <w:tcPr>
            <w:tcW w:w="1294" w:type="dxa"/>
          </w:tcPr>
          <w:p>
            <w:pPr>
              <w:pStyle w:val="TableParagraph"/>
              <w:spacing w:line="226" w:lineRule="exact" w:before="4"/>
              <w:ind w:left="385"/>
              <w:rPr>
                <w:sz w:val="18"/>
              </w:rPr>
            </w:pPr>
            <w:r>
              <w:rPr>
                <w:sz w:val="18"/>
              </w:rPr>
              <w:t>+54</w:t>
            </w:r>
          </w:p>
        </w:tc>
        <w:tc>
          <w:tcPr>
            <w:tcW w:w="1290" w:type="dxa"/>
          </w:tcPr>
          <w:p>
            <w:pPr>
              <w:pStyle w:val="TableParagraph"/>
              <w:spacing w:line="226" w:lineRule="exact" w:before="4"/>
              <w:ind w:left="388"/>
              <w:rPr>
                <w:sz w:val="18"/>
              </w:rPr>
            </w:pPr>
            <w:r>
              <w:rPr>
                <w:sz w:val="18"/>
              </w:rPr>
              <w:t>+73</w:t>
            </w:r>
          </w:p>
        </w:tc>
      </w:tr>
      <w:tr>
        <w:trPr>
          <w:trHeight w:val="245" w:hRule="atLeast"/>
        </w:trPr>
        <w:tc>
          <w:tcPr>
            <w:tcW w:w="2341" w:type="dxa"/>
          </w:tcPr>
          <w:p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sz w:val="18"/>
              </w:rPr>
              <w:t>Netto výsledek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/>
              <w:rPr>
                <w:sz w:val="18"/>
              </w:rPr>
            </w:pPr>
            <w:r>
              <w:rPr>
                <w:sz w:val="18"/>
              </w:rPr>
              <w:t>1 048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386"/>
              <w:rPr>
                <w:sz w:val="18"/>
              </w:rPr>
            </w:pPr>
            <w:r>
              <w:rPr>
                <w:sz w:val="18"/>
              </w:rPr>
              <w:t>-7 386</w:t>
            </w:r>
          </w:p>
        </w:tc>
        <w:tc>
          <w:tcPr>
            <w:tcW w:w="1249" w:type="dxa"/>
          </w:tcPr>
          <w:p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1294" w:type="dxa"/>
          </w:tcPr>
          <w:p>
            <w:pPr>
              <w:pStyle w:val="TableParagraph"/>
              <w:spacing w:line="226" w:lineRule="exact"/>
              <w:ind w:left="385"/>
              <w:rPr>
                <w:sz w:val="18"/>
              </w:rPr>
            </w:pPr>
            <w:r>
              <w:rPr>
                <w:sz w:val="18"/>
              </w:rPr>
              <w:t>-680</w:t>
            </w:r>
          </w:p>
        </w:tc>
        <w:tc>
          <w:tcPr>
            <w:tcW w:w="1290" w:type="dxa"/>
          </w:tcPr>
          <w:p>
            <w:pPr>
              <w:pStyle w:val="TableParagraph"/>
              <w:spacing w:line="226" w:lineRule="exact"/>
              <w:ind w:left="388"/>
              <w:rPr>
                <w:sz w:val="18"/>
              </w:rPr>
            </w:pPr>
            <w:r>
              <w:rPr>
                <w:sz w:val="18"/>
              </w:rPr>
              <w:t>+7 754</w:t>
            </w:r>
          </w:p>
        </w:tc>
      </w:tr>
      <w:tr>
        <w:trPr>
          <w:trHeight w:val="498" w:hRule="atLeast"/>
        </w:trPr>
        <w:tc>
          <w:tcPr>
            <w:tcW w:w="2341" w:type="dxa"/>
          </w:tcPr>
          <w:p>
            <w:pPr>
              <w:pStyle w:val="TableParagraph"/>
              <w:spacing w:line="240" w:lineRule="atLeast" w:before="4"/>
              <w:rPr>
                <w:sz w:val="18"/>
              </w:rPr>
            </w:pPr>
            <w:r>
              <w:rPr>
                <w:sz w:val="18"/>
              </w:rPr>
              <w:t>Netto výsledek, podíl skupiny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386"/>
              <w:rPr>
                <w:sz w:val="18"/>
              </w:rPr>
            </w:pPr>
            <w:r>
              <w:rPr>
                <w:sz w:val="18"/>
              </w:rPr>
              <w:t>-7 292</w:t>
            </w:r>
          </w:p>
        </w:tc>
        <w:tc>
          <w:tcPr>
            <w:tcW w:w="1249" w:type="dxa"/>
          </w:tcPr>
          <w:p>
            <w:pPr>
              <w:pStyle w:val="TableParagraph"/>
              <w:spacing w:before="4"/>
              <w:ind w:left="390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1294" w:type="dxa"/>
          </w:tcPr>
          <w:p>
            <w:pPr>
              <w:pStyle w:val="TableParagraph"/>
              <w:spacing w:before="4"/>
              <w:ind w:left="385"/>
              <w:rPr>
                <w:sz w:val="18"/>
              </w:rPr>
            </w:pPr>
            <w:r>
              <w:rPr>
                <w:sz w:val="18"/>
              </w:rPr>
              <w:t>-616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left="388"/>
              <w:rPr>
                <w:sz w:val="18"/>
              </w:rPr>
            </w:pPr>
            <w:r>
              <w:rPr>
                <w:sz w:val="18"/>
              </w:rPr>
              <w:t>+7 646</w:t>
            </w:r>
          </w:p>
        </w:tc>
      </w:tr>
      <w:tr>
        <w:trPr>
          <w:trHeight w:val="489" w:hRule="atLeast"/>
        </w:trPr>
        <w:tc>
          <w:tcPr>
            <w:tcW w:w="2341" w:type="dxa"/>
          </w:tcPr>
          <w:p>
            <w:pPr>
              <w:pStyle w:val="TableParagraph"/>
              <w:spacing w:line="247" w:lineRule="exact"/>
              <w:rPr>
                <w:sz w:val="18"/>
              </w:rPr>
            </w:pPr>
            <w:r>
              <w:rPr>
                <w:sz w:val="18"/>
              </w:rPr>
              <w:t>Operativní Free Cash</w:t>
            </w:r>
          </w:p>
          <w:p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Flow Automobile</w:t>
            </w:r>
          </w:p>
        </w:tc>
        <w:tc>
          <w:tcPr>
            <w:tcW w:w="1249" w:type="dxa"/>
          </w:tcPr>
          <w:p>
            <w:pPr>
              <w:pStyle w:val="TableParagraph"/>
              <w:spacing w:line="247" w:lineRule="exact"/>
              <w:rPr>
                <w:sz w:val="18"/>
              </w:rPr>
            </w:pPr>
            <w:r>
              <w:rPr>
                <w:sz w:val="18"/>
              </w:rPr>
              <w:t>-716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exact"/>
              <w:ind w:left="386"/>
              <w:rPr>
                <w:sz w:val="18"/>
              </w:rPr>
            </w:pPr>
            <w:r>
              <w:rPr>
                <w:sz w:val="18"/>
              </w:rPr>
              <w:t>-6 375</w:t>
            </w:r>
          </w:p>
        </w:tc>
        <w:tc>
          <w:tcPr>
            <w:tcW w:w="1249" w:type="dxa"/>
          </w:tcPr>
          <w:p>
            <w:pPr>
              <w:pStyle w:val="TableParagraph"/>
              <w:spacing w:line="247" w:lineRule="exact"/>
              <w:ind w:left="390"/>
              <w:rPr>
                <w:sz w:val="18"/>
              </w:rPr>
            </w:pPr>
            <w:r>
              <w:rPr>
                <w:sz w:val="18"/>
              </w:rPr>
              <w:t>-70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385"/>
              <w:rPr>
                <w:sz w:val="18"/>
              </w:rPr>
            </w:pPr>
            <w:r>
              <w:rPr>
                <w:sz w:val="18"/>
              </w:rPr>
              <w:t>+646</w:t>
            </w:r>
          </w:p>
        </w:tc>
        <w:tc>
          <w:tcPr>
            <w:tcW w:w="1290" w:type="dxa"/>
          </w:tcPr>
          <w:p>
            <w:pPr>
              <w:pStyle w:val="TableParagraph"/>
              <w:spacing w:line="247" w:lineRule="exact"/>
              <w:ind w:left="388"/>
              <w:rPr>
                <w:sz w:val="18"/>
              </w:rPr>
            </w:pPr>
            <w:r>
              <w:rPr>
                <w:sz w:val="18"/>
              </w:rPr>
              <w:t>+6 305</w:t>
            </w:r>
          </w:p>
        </w:tc>
      </w:tr>
    </w:tbl>
    <w:p>
      <w:pPr>
        <w:pStyle w:val="BodyText"/>
        <w:spacing w:before="13"/>
        <w:rPr>
          <w:sz w:val="28"/>
        </w:rPr>
      </w:pPr>
    </w:p>
    <w:p>
      <w:pPr>
        <w:spacing w:before="100"/>
        <w:ind w:left="496" w:right="0" w:firstLine="0"/>
        <w:jc w:val="left"/>
        <w:rPr>
          <w:sz w:val="36"/>
        </w:rPr>
      </w:pPr>
      <w:r>
        <w:rPr>
          <w:color w:val="BC9B5D"/>
          <w:sz w:val="36"/>
        </w:rPr>
        <w:t>Doplňující informace</w:t>
      </w:r>
    </w:p>
    <w:p>
      <w:pPr>
        <w:pStyle w:val="BodyText"/>
        <w:spacing w:before="251"/>
        <w:ind w:left="496" w:right="209"/>
      </w:pPr>
      <w:r>
        <w:rPr/>
        <w:t>Správní rada 29. července 2021 prozkoumala shrnuté konsolidované účty skupiny k 30. červnu 2021. Zpráva účetních komisařů o pololetní finanční situaci po částečné kontrole těchto účtů se připravuje k vydání.</w:t>
      </w:r>
    </w:p>
    <w:p>
      <w:pPr>
        <w:pStyle w:val="BodyText"/>
        <w:spacing w:before="1"/>
        <w:ind w:left="496"/>
      </w:pPr>
      <w:r>
        <w:rPr/>
        <w:t>Zprávu o činnosti s úplnou analýzou finančních výsledků za první pololetí 2021 lze nalézt na </w:t>
      </w:r>
      <w:hyperlink r:id="rId7">
        <w:r>
          <w:rPr/>
          <w:t>www.group.renault.com </w:t>
        </w:r>
      </w:hyperlink>
      <w:r>
        <w:rPr/>
        <w:t>v rubrice</w:t>
      </w:r>
    </w:p>
    <w:p>
      <w:pPr>
        <w:pStyle w:val="BodyText"/>
        <w:spacing w:before="1"/>
        <w:ind w:left="496"/>
      </w:pPr>
      <w:r>
        <w:rPr/>
        <w:t>„Finance”.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1.224998pt;margin-top:14.24199pt;width:507.4pt;height:139.85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pStyle w:val="BodyText"/>
                    <w:spacing w:before="21"/>
                    <w:ind w:left="107"/>
                    <w:jc w:val="both"/>
                  </w:pPr>
                  <w:r>
                    <w:rPr>
                      <w:color w:val="BC9B5D"/>
                    </w:rPr>
                    <w:t>O Renault Group</w:t>
                  </w:r>
                </w:p>
                <w:p>
                  <w:pPr>
                    <w:pStyle w:val="BodyText"/>
                    <w:spacing w:line="288" w:lineRule="auto" w:before="124"/>
                    <w:ind w:left="107" w:right="109"/>
                    <w:jc w:val="both"/>
                  </w:pPr>
                  <w:r>
                    <w:rPr>
                      <w:color w:val="BC9B5D"/>
                    </w:rPr>
                    <w:t>Renault Group je předvojem nově promýšlené mobility. S vydatnou podporou aliance s Nissanem a Mitsubishi Motors a jedinečné odbornosti s elektrifikací se Renault Group opírá o komplementaritu svých 5 značek – Renault – Dacia – LADA – Alpine</w:t>
                  </w:r>
                  <w:r>
                    <w:rPr>
                      <w:color w:val="BC9B5D"/>
                      <w:spacing w:val="-12"/>
                    </w:rPr>
                    <w:t> </w:t>
                  </w:r>
                  <w:r>
                    <w:rPr>
                      <w:color w:val="BC9B5D"/>
                    </w:rPr>
                    <w:t>a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Mobilize</w:t>
                  </w:r>
                  <w:r>
                    <w:rPr>
                      <w:color w:val="BC9B5D"/>
                      <w:spacing w:val="-9"/>
                    </w:rPr>
                    <w:t> </w:t>
                  </w:r>
                  <w:r>
                    <w:rPr>
                      <w:color w:val="BC9B5D"/>
                    </w:rPr>
                    <w:t>–</w:t>
                  </w:r>
                  <w:r>
                    <w:rPr>
                      <w:color w:val="BC9B5D"/>
                      <w:spacing w:val="-12"/>
                    </w:rPr>
                    <w:t> </w:t>
                  </w:r>
                  <w:r>
                    <w:rPr>
                      <w:color w:val="BC9B5D"/>
                    </w:rPr>
                    <w:t>a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navrhuje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svým</w:t>
                  </w:r>
                  <w:r>
                    <w:rPr>
                      <w:color w:val="BC9B5D"/>
                      <w:spacing w:val="-10"/>
                    </w:rPr>
                    <w:t> </w:t>
                  </w:r>
                  <w:r>
                    <w:rPr>
                      <w:color w:val="BC9B5D"/>
                    </w:rPr>
                    <w:t>klientům</w:t>
                  </w:r>
                  <w:r>
                    <w:rPr>
                      <w:color w:val="BC9B5D"/>
                      <w:spacing w:val="-9"/>
                    </w:rPr>
                    <w:t> </w:t>
                  </w:r>
                  <w:r>
                    <w:rPr>
                      <w:color w:val="BC9B5D"/>
                    </w:rPr>
                    <w:t>trvalá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a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inovativní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řešení</w:t>
                  </w:r>
                  <w:r>
                    <w:rPr>
                      <w:color w:val="BC9B5D"/>
                      <w:spacing w:val="-10"/>
                    </w:rPr>
                    <w:t> </w:t>
                  </w:r>
                  <w:r>
                    <w:rPr>
                      <w:color w:val="BC9B5D"/>
                    </w:rPr>
                    <w:t>mobility.</w:t>
                  </w:r>
                  <w:r>
                    <w:rPr>
                      <w:color w:val="BC9B5D"/>
                      <w:spacing w:val="-10"/>
                    </w:rPr>
                    <w:t> </w:t>
                  </w:r>
                  <w:r>
                    <w:rPr>
                      <w:color w:val="BC9B5D"/>
                    </w:rPr>
                    <w:t>Skupina,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která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působí</w:t>
                  </w:r>
                  <w:r>
                    <w:rPr>
                      <w:color w:val="BC9B5D"/>
                      <w:spacing w:val="-14"/>
                    </w:rPr>
                    <w:t> </w:t>
                  </w:r>
                  <w:r>
                    <w:rPr>
                      <w:color w:val="BC9B5D"/>
                    </w:rPr>
                    <w:t>ve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více</w:t>
                  </w:r>
                  <w:r>
                    <w:rPr>
                      <w:color w:val="BC9B5D"/>
                      <w:spacing w:val="-12"/>
                    </w:rPr>
                    <w:t> </w:t>
                  </w:r>
                  <w:r>
                    <w:rPr>
                      <w:color w:val="BC9B5D"/>
                    </w:rPr>
                    <w:t>než</w:t>
                  </w:r>
                  <w:r>
                    <w:rPr>
                      <w:color w:val="BC9B5D"/>
                      <w:spacing w:val="-11"/>
                    </w:rPr>
                    <w:t> </w:t>
                  </w:r>
                  <w:r>
                    <w:rPr>
                      <w:color w:val="BC9B5D"/>
                    </w:rPr>
                    <w:t>130</w:t>
                  </w:r>
                  <w:r>
                    <w:rPr>
                      <w:color w:val="BC9B5D"/>
                      <w:spacing w:val="-10"/>
                    </w:rPr>
                    <w:t> </w:t>
                  </w:r>
                  <w:r>
                    <w:rPr>
                      <w:color w:val="BC9B5D"/>
                    </w:rPr>
                    <w:t>zemích, prodala v r. 2020 2,9 miliony vozů. Čítá více než 170 000 zaměstnanců, kteří každodenně ztělesňují její účel, aby nás mobilita všechny sbližovala. Skupina je připravena přijímat výzvy v oblasti silniční dopravy i automobilových soutěží a zapojuje se do ambiciózní a tvůrčí transformace. Tato transformace je zaměřena na rozvoj technologií, nových služeb a nového, ještě konkurenceschopnějšího, vyrovnanějšího a elektrifikovaného sortimentu. Renault Group přijímá i environmentální výzvy a hodlá do r. 2040 dosáhnout uhlíkové neutrality v Evropě.</w:t>
                  </w:r>
                  <w:r>
                    <w:rPr>
                      <w:color w:val="BC9B5D"/>
                      <w:spacing w:val="-20"/>
                    </w:rPr>
                    <w:t> </w:t>
                  </w:r>
                  <w:r>
                    <w:rPr>
                      <w:color w:val="BC9B5D"/>
                    </w:rPr>
                    <w:t>https://</w:t>
                  </w:r>
                  <w:hyperlink r:id="rId8">
                    <w:r>
                      <w:rPr>
                        <w:color w:val="BC9B5D"/>
                      </w:rPr>
                      <w:t>www.renaultgroup.com/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862" w:top="1180" w:bottom="106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ead">
    <w:altName w:val="Read"/>
    <w:charset w:val="0"/>
    <w:family w:val="roman"/>
    <w:pitch w:val="variable"/>
  </w:font>
  <w:font w:name="NouvelR-Light">
    <w:altName w:val="NouvelR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025002pt;margin-top:787.723633pt;width:10.15pt;height:10.2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8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92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10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03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7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0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4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7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920"/>
      <w:outlineLvl w:val="1"/>
    </w:pPr>
    <w:rPr>
      <w:rFonts w:ascii="NouvelR-Light" w:hAnsi="NouvelR-Light" w:eastAsia="NouvelR-Light" w:cs="NouvelR-Light"/>
      <w:sz w:val="42"/>
      <w:szCs w:val="4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496"/>
      <w:outlineLvl w:val="2"/>
    </w:pPr>
    <w:rPr>
      <w:rFonts w:ascii="Read" w:hAnsi="Read" w:eastAsia="Read" w:cs="Read"/>
      <w:sz w:val="36"/>
      <w:szCs w:val="36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496"/>
      <w:jc w:val="both"/>
      <w:outlineLvl w:val="3"/>
    </w:pPr>
    <w:rPr>
      <w:rFonts w:ascii="Read" w:hAnsi="Read" w:eastAsia="Read" w:cs="Read"/>
      <w:b/>
      <w:bCs/>
      <w:sz w:val="18"/>
      <w:szCs w:val="1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1292" w:hanging="361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391"/>
    </w:pPr>
    <w:rPr>
      <w:rFonts w:ascii="Read" w:hAnsi="Read" w:eastAsia="Read" w:cs="Read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group.renault.com/" TargetMode="External"/><Relationship Id="rId8" Type="http://schemas.openxmlformats.org/officeDocument/2006/relationships/hyperlink" Target="http://www.renaultgroup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dc:title>Communiqué de presse</dc:title>
  <dcterms:created xsi:type="dcterms:W3CDTF">2021-08-02T11:40:46Z</dcterms:created>
  <dcterms:modified xsi:type="dcterms:W3CDTF">2021-08-02T11:40:46Z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2021-08-02T00:00:00Z</vt:filetime>
  </property>
</Properties>
</file>