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8" w:lineRule="exact" w:before="0"/>
        <w:ind w:left="7879" w:right="0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540384</wp:posOffset>
            </wp:positionH>
            <wp:positionV relativeFrom="paragraph">
              <wp:posOffset>22859</wp:posOffset>
            </wp:positionV>
            <wp:extent cx="971372" cy="4387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72" cy="4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TISKOVÁ ZPRÁVA</w:t>
      </w:r>
    </w:p>
    <w:p>
      <w:pPr>
        <w:pStyle w:val="BodyText"/>
        <w:spacing w:line="291" w:lineRule="exact"/>
        <w:ind w:left="7879"/>
      </w:pPr>
      <w:r>
        <w:rPr/>
        <w:t>16/07/2021</w:t>
      </w: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41.224998pt;margin-top:20.435869pt;width:513.15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pStyle w:val="Title"/>
      </w:pPr>
      <w:r>
        <w:rPr/>
        <w:t>Světové obchodní výsledky za 1. pololetí roku 2021</w:t>
      </w:r>
    </w:p>
    <w:p>
      <w:pPr>
        <w:pStyle w:val="BodyText"/>
        <w:spacing w:before="10"/>
        <w:rPr>
          <w:b/>
          <w:sz w:val="39"/>
        </w:rPr>
      </w:pPr>
    </w:p>
    <w:p>
      <w:pPr>
        <w:pStyle w:val="Heading1"/>
        <w:numPr>
          <w:ilvl w:val="0"/>
          <w:numId w:val="1"/>
        </w:numPr>
        <w:tabs>
          <w:tab w:pos="853" w:val="left" w:leader="none"/>
        </w:tabs>
        <w:spacing w:line="299" w:lineRule="exact" w:before="0" w:after="0"/>
        <w:ind w:left="852" w:right="0" w:hanging="361"/>
        <w:jc w:val="both"/>
      </w:pPr>
      <w:r>
        <w:rPr/>
        <w:t>Prodeje Skupiny Renault v celém světě se v prvním pololetí roku 2021 zvýšily oproti roku 2020 o 18,7</w:t>
      </w:r>
      <w:r>
        <w:rPr>
          <w:spacing w:val="-36"/>
        </w:rPr>
        <w:t> </w:t>
      </w:r>
      <w:r>
        <w:rPr/>
        <w:t>%.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04" w:lineRule="auto" w:before="20" w:after="0"/>
        <w:ind w:left="852" w:right="131" w:hanging="360"/>
        <w:jc w:val="both"/>
        <w:rPr>
          <w:b/>
          <w:sz w:val="22"/>
        </w:rPr>
      </w:pPr>
      <w:r>
        <w:rPr>
          <w:b/>
          <w:sz w:val="22"/>
        </w:rPr>
        <w:t>Skupina Renault potvrzuje, že pokračuje v selektivní obchodní politice upřednostňující nárůst rentabilních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objemů.</w:t>
      </w:r>
    </w:p>
    <w:p>
      <w:pPr>
        <w:pStyle w:val="Heading1"/>
        <w:numPr>
          <w:ilvl w:val="0"/>
          <w:numId w:val="1"/>
        </w:numPr>
        <w:tabs>
          <w:tab w:pos="853" w:val="left" w:leader="none"/>
        </w:tabs>
        <w:spacing w:line="204" w:lineRule="auto" w:before="9" w:after="0"/>
        <w:ind w:left="852" w:right="125" w:hanging="360"/>
        <w:jc w:val="both"/>
      </w:pPr>
      <w:r>
        <w:rPr/>
        <w:t>Značka Renault zaznamenala zvýšení svých prodejů o 18,5 %. Modelová řada E-TECH je velmi úspěšná, v Evropě se prodává s tímto označením každý čtvrtý osobní vůz Renault. U modelu Arkana je každý druhý prodaný vůz ve verzi</w:t>
      </w:r>
      <w:r>
        <w:rPr>
          <w:spacing w:val="-4"/>
        </w:rPr>
        <w:t> </w:t>
      </w:r>
      <w:r>
        <w:rPr/>
        <w:t>E-TECH.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67" w:lineRule="exact" w:before="0" w:after="0"/>
        <w:ind w:left="852" w:right="0" w:hanging="361"/>
        <w:jc w:val="both"/>
        <w:rPr>
          <w:b/>
          <w:sz w:val="22"/>
        </w:rPr>
      </w:pPr>
      <w:r>
        <w:rPr>
          <w:b/>
          <w:sz w:val="22"/>
        </w:rPr>
        <w:t>Značka Dacia zaznamenala nárůst o 24,5 % díky obnově sortimentu, které vévodí Nové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Sandero.</w:t>
      </w:r>
    </w:p>
    <w:p>
      <w:pPr>
        <w:pStyle w:val="Heading1"/>
        <w:numPr>
          <w:ilvl w:val="0"/>
          <w:numId w:val="1"/>
        </w:numPr>
        <w:tabs>
          <w:tab w:pos="853" w:val="left" w:leader="none"/>
        </w:tabs>
        <w:spacing w:line="206" w:lineRule="auto" w:before="17" w:after="0"/>
        <w:ind w:left="852" w:right="131" w:hanging="360"/>
        <w:jc w:val="both"/>
      </w:pPr>
      <w:r>
        <w:rPr/>
        <w:t>U</w:t>
      </w:r>
      <w:r>
        <w:rPr>
          <w:spacing w:val="-11"/>
        </w:rPr>
        <w:t> </w:t>
      </w:r>
      <w:r>
        <w:rPr/>
        <w:t>značky</w:t>
      </w:r>
      <w:r>
        <w:rPr>
          <w:spacing w:val="-5"/>
        </w:rPr>
        <w:t> </w:t>
      </w:r>
      <w:r>
        <w:rPr/>
        <w:t>LADA</w:t>
      </w:r>
      <w:r>
        <w:rPr>
          <w:spacing w:val="-7"/>
        </w:rPr>
        <w:t> </w:t>
      </w:r>
      <w:r>
        <w:rPr/>
        <w:t>došlo</w:t>
      </w:r>
      <w:r>
        <w:rPr>
          <w:spacing w:val="-9"/>
        </w:rPr>
        <w:t> </w:t>
      </w:r>
      <w:r>
        <w:rPr/>
        <w:t>k</w:t>
      </w:r>
      <w:r>
        <w:rPr>
          <w:spacing w:val="-4"/>
        </w:rPr>
        <w:t> </w:t>
      </w:r>
      <w:r>
        <w:rPr/>
        <w:t>nárůstu</w:t>
      </w:r>
      <w:r>
        <w:rPr>
          <w:spacing w:val="-9"/>
        </w:rPr>
        <w:t> </w:t>
      </w:r>
      <w:r>
        <w:rPr/>
        <w:t>prodejů</w:t>
      </w:r>
      <w:r>
        <w:rPr>
          <w:spacing w:val="-9"/>
        </w:rPr>
        <w:t> </w:t>
      </w:r>
      <w:r>
        <w:rPr/>
        <w:t>ve</w:t>
      </w:r>
      <w:r>
        <w:rPr>
          <w:spacing w:val="-9"/>
        </w:rPr>
        <w:t> </w:t>
      </w:r>
      <w:r>
        <w:rPr/>
        <w:t>světě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41,1</w:t>
      </w:r>
      <w:r>
        <w:rPr>
          <w:spacing w:val="-6"/>
        </w:rPr>
        <w:t> </w:t>
      </w:r>
      <w:r>
        <w:rPr/>
        <w:t>%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</w:t>
      </w:r>
      <w:r>
        <w:rPr>
          <w:spacing w:val="-3"/>
        </w:rPr>
        <w:t> </w:t>
      </w:r>
      <w:r>
        <w:rPr/>
        <w:t>Rusku</w:t>
      </w:r>
      <w:r>
        <w:rPr>
          <w:spacing w:val="-9"/>
        </w:rPr>
        <w:t> </w:t>
      </w:r>
      <w:r>
        <w:rPr/>
        <w:t>o</w:t>
      </w:r>
      <w:r>
        <w:rPr>
          <w:spacing w:val="-4"/>
        </w:rPr>
        <w:t> </w:t>
      </w:r>
      <w:r>
        <w:rPr/>
        <w:t>51</w:t>
      </w:r>
      <w:r>
        <w:rPr>
          <w:spacing w:val="-6"/>
        </w:rPr>
        <w:t> </w:t>
      </w:r>
      <w:r>
        <w:rPr/>
        <w:t>%,</w:t>
      </w:r>
      <w:r>
        <w:rPr>
          <w:spacing w:val="-7"/>
        </w:rPr>
        <w:t> </w:t>
      </w:r>
      <w:r>
        <w:rPr/>
        <w:t>přičemž</w:t>
      </w:r>
      <w:r>
        <w:rPr>
          <w:spacing w:val="-11"/>
        </w:rPr>
        <w:t> </w:t>
      </w:r>
      <w:r>
        <w:rPr/>
        <w:t>v</w:t>
      </w:r>
      <w:r>
        <w:rPr>
          <w:spacing w:val="-1"/>
        </w:rPr>
        <w:t> </w:t>
      </w:r>
      <w:r>
        <w:rPr/>
        <w:t>Rusku</w:t>
      </w:r>
      <w:r>
        <w:rPr>
          <w:spacing w:val="-9"/>
        </w:rPr>
        <w:t> </w:t>
      </w:r>
      <w:r>
        <w:rPr/>
        <w:t>posílila</w:t>
      </w:r>
      <w:r>
        <w:rPr>
          <w:spacing w:val="-11"/>
        </w:rPr>
        <w:t> </w:t>
      </w:r>
      <w:r>
        <w:rPr/>
        <w:t>LADA své první místo s 23 % podílem na trhu, což je nejlepší výsledek za posledních deset</w:t>
      </w:r>
      <w:r>
        <w:rPr>
          <w:spacing w:val="-30"/>
        </w:rPr>
        <w:t> </w:t>
      </w:r>
      <w:r>
        <w:rPr>
          <w:spacing w:val="3"/>
        </w:rPr>
        <w:t>let.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04" w:lineRule="auto" w:before="10" w:after="0"/>
        <w:ind w:left="852" w:right="122" w:hanging="360"/>
        <w:jc w:val="both"/>
        <w:rPr>
          <w:b/>
          <w:sz w:val="22"/>
        </w:rPr>
      </w:pPr>
      <w:r>
        <w:rPr>
          <w:b/>
          <w:sz w:val="22"/>
        </w:rPr>
        <w:t>Portfolio objednávek Skupiny v Evropě na konci června odpovídá 2,5 měsícům prodejů a jeho základem je atraktivita nabídky Renault E-TECH, užitková vozidla, Nová Dacia Sandero a 100 % elektrická Dacia Spring.</w:t>
      </w:r>
    </w:p>
    <w:p>
      <w:pPr>
        <w:pStyle w:val="Heading1"/>
        <w:numPr>
          <w:ilvl w:val="0"/>
          <w:numId w:val="1"/>
        </w:numPr>
        <w:tabs>
          <w:tab w:pos="853" w:val="left" w:leader="none"/>
        </w:tabs>
        <w:spacing w:line="286" w:lineRule="exact" w:before="0" w:after="0"/>
        <w:ind w:left="852" w:right="0" w:hanging="361"/>
        <w:jc w:val="both"/>
      </w:pPr>
      <w:r>
        <w:rPr/>
        <w:t>Skupina si plní své cíle CAFE pro rok</w:t>
      </w:r>
      <w:r>
        <w:rPr>
          <w:spacing w:val="-8"/>
        </w:rPr>
        <w:t> </w:t>
      </w:r>
      <w:r>
        <w:rPr/>
        <w:t>2021.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BodyText"/>
        <w:ind w:left="132"/>
      </w:pPr>
      <w:r>
        <w:rPr/>
        <w:t>Boulogne-Billancourt, dne 16. července 2021.</w:t>
      </w:r>
    </w:p>
    <w:p>
      <w:pPr>
        <w:pStyle w:val="Heading1"/>
        <w:spacing w:line="232" w:lineRule="auto" w:before="119"/>
        <w:ind w:left="132" w:right="89"/>
        <w:jc w:val="left"/>
      </w:pPr>
      <w:r>
        <w:rPr/>
        <w:t>Za</w:t>
      </w:r>
      <w:r>
        <w:rPr>
          <w:spacing w:val="-12"/>
        </w:rPr>
        <w:t> </w:t>
      </w:r>
      <w:r>
        <w:rPr/>
        <w:t>situace,</w:t>
      </w:r>
      <w:r>
        <w:rPr>
          <w:spacing w:val="-11"/>
        </w:rPr>
        <w:t> </w:t>
      </w:r>
      <w:r>
        <w:rPr/>
        <w:t>kterou</w:t>
      </w:r>
      <w:r>
        <w:rPr>
          <w:spacing w:val="-10"/>
        </w:rPr>
        <w:t> </w:t>
      </w:r>
      <w:r>
        <w:rPr/>
        <w:t>stále</w:t>
      </w:r>
      <w:r>
        <w:rPr>
          <w:spacing w:val="-9"/>
        </w:rPr>
        <w:t> </w:t>
      </w:r>
      <w:r>
        <w:rPr/>
        <w:t>negativně</w:t>
      </w:r>
      <w:r>
        <w:rPr>
          <w:spacing w:val="-10"/>
        </w:rPr>
        <w:t> </w:t>
      </w:r>
      <w:r>
        <w:rPr/>
        <w:t>ovlivňuje</w:t>
      </w:r>
      <w:r>
        <w:rPr>
          <w:spacing w:val="-9"/>
        </w:rPr>
        <w:t> </w:t>
      </w:r>
      <w:r>
        <w:rPr/>
        <w:t>pandemie</w:t>
      </w:r>
      <w:r>
        <w:rPr>
          <w:spacing w:val="-9"/>
        </w:rPr>
        <w:t> </w:t>
      </w:r>
      <w:r>
        <w:rPr/>
        <w:t>covidu-19,</w:t>
      </w:r>
      <w:r>
        <w:rPr>
          <w:spacing w:val="-12"/>
        </w:rPr>
        <w:t> </w:t>
      </w:r>
      <w:r>
        <w:rPr/>
        <w:t>prodala</w:t>
      </w:r>
      <w:r>
        <w:rPr>
          <w:spacing w:val="-11"/>
        </w:rPr>
        <w:t> </w:t>
      </w:r>
      <w:r>
        <w:rPr/>
        <w:t>Skupina</w:t>
      </w:r>
      <w:r>
        <w:rPr>
          <w:spacing w:val="-12"/>
        </w:rPr>
        <w:t> </w:t>
      </w:r>
      <w:r>
        <w:rPr/>
        <w:t>Renault</w:t>
      </w:r>
      <w:r>
        <w:rPr>
          <w:spacing w:val="-15"/>
        </w:rPr>
        <w:t> </w:t>
      </w:r>
      <w:r>
        <w:rPr/>
        <w:t>v 1.</w:t>
      </w:r>
      <w:r>
        <w:rPr>
          <w:spacing w:val="-9"/>
        </w:rPr>
        <w:t> </w:t>
      </w:r>
      <w:r>
        <w:rPr/>
        <w:t>pololetí</w:t>
      </w:r>
      <w:r>
        <w:rPr>
          <w:spacing w:val="-8"/>
        </w:rPr>
        <w:t> </w:t>
      </w:r>
      <w:r>
        <w:rPr/>
        <w:t>roku</w:t>
      </w:r>
      <w:r>
        <w:rPr>
          <w:spacing w:val="-10"/>
        </w:rPr>
        <w:t> </w:t>
      </w:r>
      <w:r>
        <w:rPr/>
        <w:t>2021 1</w:t>
      </w:r>
      <w:r>
        <w:rPr>
          <w:spacing w:val="-3"/>
        </w:rPr>
        <w:t> </w:t>
      </w:r>
      <w:r>
        <w:rPr/>
        <w:t>422</w:t>
      </w:r>
      <w:r>
        <w:rPr>
          <w:spacing w:val="4"/>
        </w:rPr>
        <w:t> </w:t>
      </w:r>
      <w:r>
        <w:rPr/>
        <w:t>600</w:t>
      </w:r>
      <w:r>
        <w:rPr>
          <w:spacing w:val="6"/>
        </w:rPr>
        <w:t> </w:t>
      </w:r>
      <w:r>
        <w:rPr/>
        <w:t>vozidel,</w:t>
      </w:r>
      <w:r>
        <w:rPr>
          <w:spacing w:val="4"/>
        </w:rPr>
        <w:t> </w:t>
      </w:r>
      <w:r>
        <w:rPr/>
        <w:t>což</w:t>
      </w:r>
      <w:r>
        <w:rPr>
          <w:spacing w:val="5"/>
        </w:rPr>
        <w:t> </w:t>
      </w:r>
      <w:r>
        <w:rPr/>
        <w:t>představuje</w:t>
      </w:r>
      <w:r>
        <w:rPr>
          <w:spacing w:val="6"/>
        </w:rPr>
        <w:t> </w:t>
      </w:r>
      <w:r>
        <w:rPr/>
        <w:t>nárůst</w:t>
      </w:r>
      <w:r>
        <w:rPr>
          <w:spacing w:val="4"/>
        </w:rPr>
        <w:t> </w:t>
      </w:r>
      <w:r>
        <w:rPr/>
        <w:t>o</w:t>
      </w:r>
      <w:r>
        <w:rPr>
          <w:spacing w:val="8"/>
        </w:rPr>
        <w:t> </w:t>
      </w:r>
      <w:r>
        <w:rPr/>
        <w:t>18,7</w:t>
      </w:r>
      <w:r>
        <w:rPr>
          <w:spacing w:val="4"/>
        </w:rPr>
        <w:t> </w:t>
      </w:r>
      <w:r>
        <w:rPr/>
        <w:t>%</w:t>
      </w:r>
      <w:r>
        <w:rPr>
          <w:spacing w:val="5"/>
        </w:rPr>
        <w:t> </w:t>
      </w:r>
      <w:r>
        <w:rPr/>
        <w:t>oproti</w:t>
      </w:r>
      <w:r>
        <w:rPr>
          <w:spacing w:val="7"/>
        </w:rPr>
        <w:t> </w:t>
      </w:r>
      <w:r>
        <w:rPr/>
        <w:t>roku</w:t>
      </w:r>
      <w:r>
        <w:rPr>
          <w:spacing w:val="9"/>
        </w:rPr>
        <w:t> </w:t>
      </w:r>
      <w:r>
        <w:rPr/>
        <w:t>2020,</w:t>
      </w:r>
      <w:r>
        <w:rPr>
          <w:spacing w:val="5"/>
        </w:rPr>
        <w:t> </w:t>
      </w:r>
      <w:r>
        <w:rPr/>
        <w:t>ale</w:t>
      </w:r>
      <w:r>
        <w:rPr>
          <w:spacing w:val="6"/>
        </w:rPr>
        <w:t> </w:t>
      </w:r>
      <w:r>
        <w:rPr/>
        <w:t>pokles</w:t>
      </w:r>
      <w:r>
        <w:rPr>
          <w:spacing w:val="4"/>
        </w:rPr>
        <w:t> </w:t>
      </w:r>
      <w:r>
        <w:rPr/>
        <w:t>o</w:t>
      </w:r>
      <w:r>
        <w:rPr>
          <w:spacing w:val="8"/>
        </w:rPr>
        <w:t> </w:t>
      </w:r>
      <w:r>
        <w:rPr/>
        <w:t>24,2</w:t>
      </w:r>
      <w:r>
        <w:rPr>
          <w:spacing w:val="5"/>
        </w:rPr>
        <w:t> </w:t>
      </w:r>
      <w:r>
        <w:rPr/>
        <w:t>%</w:t>
      </w:r>
      <w:r>
        <w:rPr>
          <w:spacing w:val="4"/>
        </w:rPr>
        <w:t> </w:t>
      </w:r>
      <w:r>
        <w:rPr/>
        <w:t>oproti</w:t>
      </w:r>
      <w:r>
        <w:rPr>
          <w:spacing w:val="7"/>
        </w:rPr>
        <w:t> </w:t>
      </w:r>
      <w:r>
        <w:rPr/>
        <w:t>1.</w:t>
      </w:r>
      <w:r>
        <w:rPr>
          <w:spacing w:val="6"/>
        </w:rPr>
        <w:t> </w:t>
      </w:r>
      <w:r>
        <w:rPr/>
        <w:t>pololetí</w:t>
      </w:r>
      <w:r>
        <w:rPr>
          <w:spacing w:val="7"/>
        </w:rPr>
        <w:t> </w:t>
      </w:r>
      <w:r>
        <w:rPr/>
        <w:t>roku</w:t>
      </w:r>
    </w:p>
    <w:p>
      <w:pPr>
        <w:spacing w:line="310" w:lineRule="exact" w:before="0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2019.</w:t>
      </w:r>
    </w:p>
    <w:p>
      <w:pPr>
        <w:pStyle w:val="Heading1"/>
        <w:spacing w:line="313" w:lineRule="exact" w:before="115"/>
        <w:ind w:left="132"/>
        <w:jc w:val="left"/>
      </w:pPr>
      <w:r>
        <w:rPr/>
        <w:t>Po celé toto pololetí pokračuje Skupina v selektivní obchodní politice upřednostňující nárůst rentabilních objemů</w:t>
      </w:r>
    </w:p>
    <w:p>
      <w:pPr>
        <w:spacing w:line="313" w:lineRule="exact" w:before="0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na svých jednotlivých trzích.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5"/>
        </w:rPr>
      </w:pPr>
    </w:p>
    <w:p>
      <w:pPr>
        <w:spacing w:before="1"/>
        <w:ind w:left="132" w:right="0" w:firstLine="0"/>
        <w:jc w:val="both"/>
        <w:rPr>
          <w:b/>
          <w:sz w:val="22"/>
        </w:rPr>
      </w:pPr>
      <w:r>
        <w:rPr>
          <w:b/>
          <w:color w:val="978B7E"/>
          <w:sz w:val="22"/>
        </w:rPr>
        <w:t>Značka Renault</w:t>
      </w:r>
    </w:p>
    <w:p>
      <w:pPr>
        <w:pStyle w:val="BodyText"/>
        <w:spacing w:line="235" w:lineRule="auto" w:before="116"/>
        <w:ind w:left="132" w:right="123"/>
        <w:jc w:val="both"/>
      </w:pPr>
      <w:r>
        <w:rPr/>
        <w:t>Značka</w:t>
      </w:r>
      <w:r>
        <w:rPr>
          <w:spacing w:val="-10"/>
        </w:rPr>
        <w:t> </w:t>
      </w:r>
      <w:r>
        <w:rPr/>
        <w:t>Renault</w:t>
      </w:r>
      <w:r>
        <w:rPr>
          <w:spacing w:val="-9"/>
        </w:rPr>
        <w:t> </w:t>
      </w:r>
      <w:r>
        <w:rPr/>
        <w:t>prodala</w:t>
      </w:r>
      <w:r>
        <w:rPr>
          <w:spacing w:val="-10"/>
        </w:rPr>
        <w:t> </w:t>
      </w:r>
      <w:r>
        <w:rPr/>
        <w:t>v celém</w:t>
      </w:r>
      <w:r>
        <w:rPr>
          <w:spacing w:val="-8"/>
        </w:rPr>
        <w:t> </w:t>
      </w:r>
      <w:r>
        <w:rPr/>
        <w:t>světě</w:t>
      </w:r>
      <w:r>
        <w:rPr>
          <w:spacing w:val="-8"/>
        </w:rPr>
        <w:t> </w:t>
      </w:r>
      <w:r>
        <w:rPr/>
        <w:t>901</w:t>
      </w:r>
      <w:r>
        <w:rPr>
          <w:spacing w:val="-8"/>
        </w:rPr>
        <w:t> </w:t>
      </w:r>
      <w:r>
        <w:rPr/>
        <w:t>500</w:t>
      </w:r>
      <w:r>
        <w:rPr>
          <w:spacing w:val="-7"/>
        </w:rPr>
        <w:t> </w:t>
      </w:r>
      <w:r>
        <w:rPr/>
        <w:t>vozidel,</w:t>
      </w:r>
      <w:r>
        <w:rPr>
          <w:spacing w:val="-8"/>
        </w:rPr>
        <w:t> </w:t>
      </w:r>
      <w:r>
        <w:rPr/>
        <w:t>což</w:t>
      </w:r>
      <w:r>
        <w:rPr>
          <w:spacing w:val="-11"/>
        </w:rPr>
        <w:t> </w:t>
      </w:r>
      <w:r>
        <w:rPr/>
        <w:t>představuje</w:t>
      </w:r>
      <w:r>
        <w:rPr>
          <w:spacing w:val="-10"/>
        </w:rPr>
        <w:t> </w:t>
      </w:r>
      <w:r>
        <w:rPr/>
        <w:t>nárůst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18,5</w:t>
      </w:r>
      <w:r>
        <w:rPr>
          <w:spacing w:val="-8"/>
        </w:rPr>
        <w:t> </w:t>
      </w:r>
      <w:r>
        <w:rPr/>
        <w:t>%</w:t>
      </w:r>
      <w:r>
        <w:rPr>
          <w:spacing w:val="-9"/>
        </w:rPr>
        <w:t> </w:t>
      </w:r>
      <w:r>
        <w:rPr/>
        <w:t>oproti</w:t>
      </w:r>
      <w:r>
        <w:rPr>
          <w:spacing w:val="-8"/>
        </w:rPr>
        <w:t> </w:t>
      </w:r>
      <w:r>
        <w:rPr/>
        <w:t>1.</w:t>
      </w:r>
      <w:r>
        <w:rPr>
          <w:spacing w:val="-7"/>
        </w:rPr>
        <w:t> </w:t>
      </w:r>
      <w:r>
        <w:rPr/>
        <w:t>pololetí</w:t>
      </w:r>
      <w:r>
        <w:rPr>
          <w:spacing w:val="-7"/>
        </w:rPr>
        <w:t> </w:t>
      </w:r>
      <w:r>
        <w:rPr/>
        <w:t>roku</w:t>
      </w:r>
      <w:r>
        <w:rPr>
          <w:spacing w:val="-6"/>
        </w:rPr>
        <w:t> </w:t>
      </w:r>
      <w:r>
        <w:rPr/>
        <w:t>2020. K nárůstu došlo ve všech klíčových zemích. Podíl prodejů v Evropě dosahuje 59 %. V pěti hlavních evropských zemích (Francie, Německo, Španělsko, Itálie a Spojené království) představuje nyní podíl prodeje soukromým osobám 40 %, což je téměř o 2procentní body více než v roce 2019, tedy v situaci před</w:t>
      </w:r>
      <w:r>
        <w:rPr>
          <w:spacing w:val="-16"/>
        </w:rPr>
        <w:t> </w:t>
      </w:r>
      <w:r>
        <w:rPr/>
        <w:t>krizí.</w:t>
      </w: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pStyle w:val="BodyText"/>
        <w:spacing w:line="232" w:lineRule="auto"/>
        <w:ind w:left="132" w:right="124"/>
        <w:jc w:val="both"/>
      </w:pPr>
      <w:r>
        <w:rPr/>
        <w:t>V Evropě prodala značka Renault 532 161 vozidel (+ 13,2 %), což představuje 7 % podíl na trhu. Tento výsledek je podpořen  velkým  nárůstem   prodejů   osobních   elektromobilů   a   elektrifikovaných   osobních   vozidel   E-TECH (91 869 vozidel, tedy + 149 %). Ostatně s přibližně 20 000 objednávek za tři měsíce prodeje se Arkana úspěšně</w:t>
      </w:r>
      <w:r>
        <w:rPr>
          <w:spacing w:val="-4"/>
        </w:rPr>
        <w:t> </w:t>
      </w:r>
      <w:r>
        <w:rPr/>
        <w:t>pohybuje</w:t>
      </w:r>
      <w:r>
        <w:rPr>
          <w:spacing w:val="-6"/>
        </w:rPr>
        <w:t> </w:t>
      </w:r>
      <w:r>
        <w:rPr/>
        <w:t>v</w:t>
      </w:r>
      <w:r>
        <w:rPr>
          <w:spacing w:val="-2"/>
        </w:rPr>
        <w:t> </w:t>
      </w:r>
      <w:r>
        <w:rPr/>
        <w:t>segmentu</w:t>
      </w:r>
      <w:r>
        <w:rPr>
          <w:spacing w:val="-4"/>
        </w:rPr>
        <w:t> </w:t>
      </w:r>
      <w:r>
        <w:rPr/>
        <w:t>C.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trhu</w:t>
      </w:r>
      <w:r>
        <w:rPr>
          <w:spacing w:val="-3"/>
        </w:rPr>
        <w:t> </w:t>
      </w:r>
      <w:r>
        <w:rPr/>
        <w:t>užitkových</w:t>
      </w:r>
      <w:r>
        <w:rPr>
          <w:spacing w:val="-4"/>
        </w:rPr>
        <w:t> </w:t>
      </w:r>
      <w:r>
        <w:rPr/>
        <w:t>vozidel,</w:t>
      </w:r>
      <w:r>
        <w:rPr>
          <w:spacing w:val="-3"/>
        </w:rPr>
        <w:t> </w:t>
      </w:r>
      <w:r>
        <w:rPr/>
        <w:t>kde</w:t>
      </w:r>
      <w:r>
        <w:rPr>
          <w:spacing w:val="-4"/>
        </w:rPr>
        <w:t> </w:t>
      </w:r>
      <w:r>
        <w:rPr/>
        <w:t>došlo</w:t>
      </w:r>
      <w:r>
        <w:rPr>
          <w:spacing w:val="-4"/>
        </w:rPr>
        <w:t> </w:t>
      </w:r>
      <w:r>
        <w:rPr/>
        <w:t>k nárůstu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42,3</w:t>
      </w:r>
      <w:r>
        <w:rPr>
          <w:spacing w:val="-4"/>
        </w:rPr>
        <w:t> </w:t>
      </w:r>
      <w:r>
        <w:rPr/>
        <w:t>%,</w:t>
      </w:r>
      <w:r>
        <w:rPr>
          <w:spacing w:val="-2"/>
        </w:rPr>
        <w:t> </w:t>
      </w:r>
      <w:r>
        <w:rPr/>
        <w:t>zvýšil</w:t>
      </w:r>
      <w:r>
        <w:rPr>
          <w:spacing w:val="-2"/>
        </w:rPr>
        <w:t> </w:t>
      </w:r>
      <w:r>
        <w:rPr/>
        <w:t>Renault</w:t>
      </w:r>
      <w:r>
        <w:rPr>
          <w:spacing w:val="-5"/>
        </w:rPr>
        <w:t> </w:t>
      </w:r>
      <w:r>
        <w:rPr/>
        <w:t>svůj</w:t>
      </w:r>
      <w:r>
        <w:rPr>
          <w:spacing w:val="-5"/>
        </w:rPr>
        <w:t> </w:t>
      </w:r>
      <w:r>
        <w:rPr/>
        <w:t>podíl na trhu o 0,4 bodu na 14,4</w:t>
      </w:r>
      <w:r>
        <w:rPr>
          <w:spacing w:val="-6"/>
        </w:rPr>
        <w:t> </w:t>
      </w:r>
      <w:r>
        <w:rPr/>
        <w:t>%.</w:t>
      </w:r>
    </w:p>
    <w:p>
      <w:pPr>
        <w:spacing w:after="0" w:line="232" w:lineRule="auto"/>
        <w:jc w:val="both"/>
        <w:sectPr>
          <w:footerReference w:type="default" r:id="rId5"/>
          <w:type w:val="continuous"/>
          <w:pgSz w:w="11910" w:h="16840"/>
          <w:pgMar w:footer="838" w:top="800" w:bottom="1020" w:left="720" w:right="72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32" w:lineRule="auto" w:before="15"/>
        <w:ind w:left="132"/>
      </w:pPr>
      <w:r>
        <w:rPr/>
        <w:t>V klíčových zemích mimo Evropu zaznamenala značka Renault také růst díky úspěšnému zahájení prodeje nových modelů: Kiger v Indii (+ 86,6 %), Duster v Rusku (+ 36 %) a v Latinské Americe, kde došlo v Brazílii k nárůstu o 15,9</w:t>
      </w:r>
    </w:p>
    <w:p>
      <w:pPr>
        <w:pStyle w:val="BodyText"/>
        <w:spacing w:line="310" w:lineRule="exact"/>
        <w:ind w:left="132"/>
      </w:pPr>
      <w:r>
        <w:rPr/>
        <w:t>%.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2" w:right="0" w:firstLine="0"/>
        <w:jc w:val="both"/>
        <w:rPr>
          <w:b/>
          <w:sz w:val="22"/>
        </w:rPr>
      </w:pPr>
      <w:r>
        <w:rPr>
          <w:b/>
          <w:color w:val="978B7E"/>
          <w:sz w:val="22"/>
        </w:rPr>
        <w:t>Značky Dacia a Lada</w:t>
      </w:r>
    </w:p>
    <w:p>
      <w:pPr>
        <w:pStyle w:val="BodyText"/>
        <w:spacing w:line="232" w:lineRule="auto" w:before="119"/>
        <w:ind w:left="132" w:right="129"/>
        <w:jc w:val="both"/>
      </w:pPr>
      <w:r>
        <w:rPr/>
        <w:t>Značka</w:t>
      </w:r>
      <w:r>
        <w:rPr>
          <w:spacing w:val="-13"/>
        </w:rPr>
        <w:t> </w:t>
      </w:r>
      <w:r>
        <w:rPr/>
        <w:t>Dacia</w:t>
      </w:r>
      <w:r>
        <w:rPr>
          <w:spacing w:val="-12"/>
        </w:rPr>
        <w:t> </w:t>
      </w:r>
      <w:r>
        <w:rPr/>
        <w:t>prodala</w:t>
      </w:r>
      <w:r>
        <w:rPr>
          <w:spacing w:val="-12"/>
        </w:rPr>
        <w:t> </w:t>
      </w:r>
      <w:r>
        <w:rPr/>
        <w:t>262</w:t>
      </w:r>
      <w:r>
        <w:rPr>
          <w:spacing w:val="-11"/>
        </w:rPr>
        <w:t> </w:t>
      </w:r>
      <w:r>
        <w:rPr/>
        <w:t>814</w:t>
      </w:r>
      <w:r>
        <w:rPr>
          <w:spacing w:val="-7"/>
        </w:rPr>
        <w:t> </w:t>
      </w:r>
      <w:r>
        <w:rPr/>
        <w:t>vozidel</w:t>
      </w:r>
      <w:r>
        <w:rPr>
          <w:spacing w:val="-9"/>
        </w:rPr>
        <w:t> </w:t>
      </w:r>
      <w:r>
        <w:rPr/>
        <w:t>(+</w:t>
      </w:r>
      <w:r>
        <w:rPr>
          <w:spacing w:val="-13"/>
        </w:rPr>
        <w:t> </w:t>
      </w:r>
      <w:r>
        <w:rPr/>
        <w:t>24,5</w:t>
      </w:r>
      <w:r>
        <w:rPr>
          <w:spacing w:val="-8"/>
        </w:rPr>
        <w:t> </w:t>
      </w:r>
      <w:r>
        <w:rPr/>
        <w:t>%),</w:t>
      </w:r>
      <w:r>
        <w:rPr>
          <w:spacing w:val="-10"/>
        </w:rPr>
        <w:t> </w:t>
      </w:r>
      <w:r>
        <w:rPr/>
        <w:t>což</w:t>
      </w:r>
      <w:r>
        <w:rPr>
          <w:spacing w:val="-11"/>
        </w:rPr>
        <w:t> </w:t>
      </w:r>
      <w:r>
        <w:rPr/>
        <w:t>je</w:t>
      </w:r>
      <w:r>
        <w:rPr>
          <w:spacing w:val="-10"/>
        </w:rPr>
        <w:t> </w:t>
      </w:r>
      <w:r>
        <w:rPr/>
        <w:t>způsobeno</w:t>
      </w:r>
      <w:r>
        <w:rPr>
          <w:spacing w:val="-11"/>
        </w:rPr>
        <w:t> </w:t>
      </w:r>
      <w:r>
        <w:rPr/>
        <w:t>hlavně</w:t>
      </w:r>
      <w:r>
        <w:rPr>
          <w:spacing w:val="-10"/>
        </w:rPr>
        <w:t> </w:t>
      </w:r>
      <w:r>
        <w:rPr/>
        <w:t>úspěchem</w:t>
      </w:r>
      <w:r>
        <w:rPr>
          <w:spacing w:val="-11"/>
        </w:rPr>
        <w:t> </w:t>
      </w:r>
      <w:r>
        <w:rPr/>
        <w:t>Nového</w:t>
      </w:r>
      <w:r>
        <w:rPr>
          <w:spacing w:val="-11"/>
        </w:rPr>
        <w:t> </w:t>
      </w:r>
      <w:r>
        <w:rPr/>
        <w:t>Sandera.</w:t>
      </w:r>
      <w:r>
        <w:rPr>
          <w:spacing w:val="-12"/>
        </w:rPr>
        <w:t> </w:t>
      </w:r>
      <w:r>
        <w:rPr/>
        <w:t>Dacia</w:t>
      </w:r>
      <w:r>
        <w:rPr>
          <w:spacing w:val="-9"/>
        </w:rPr>
        <w:t> </w:t>
      </w:r>
      <w:r>
        <w:rPr/>
        <w:t>Spring, dostupný elektromobil, začíná velmi dobře s více než 15 000 objednávkami s předpokládaným dodáním v průběhu podzimu tohoto roku. Dacia pokračuje v obnově celého svého sortimentu: po Novém Sanderu a Novém Loganu na konci</w:t>
      </w:r>
      <w:r>
        <w:rPr>
          <w:spacing w:val="-8"/>
        </w:rPr>
        <w:t> </w:t>
      </w:r>
      <w:r>
        <w:rPr/>
        <w:t>roku</w:t>
      </w:r>
      <w:r>
        <w:rPr>
          <w:spacing w:val="-8"/>
        </w:rPr>
        <w:t> </w:t>
      </w:r>
      <w:r>
        <w:rPr/>
        <w:t>2020</w:t>
      </w:r>
      <w:r>
        <w:rPr>
          <w:spacing w:val="-7"/>
        </w:rPr>
        <w:t> </w:t>
      </w:r>
      <w:r>
        <w:rPr/>
        <w:t>byl</w:t>
      </w:r>
      <w:r>
        <w:rPr>
          <w:spacing w:val="-7"/>
        </w:rPr>
        <w:t> </w:t>
      </w:r>
      <w:r>
        <w:rPr/>
        <w:t>v</w:t>
      </w:r>
      <w:r>
        <w:rPr>
          <w:spacing w:val="-3"/>
        </w:rPr>
        <w:t> </w:t>
      </w:r>
      <w:r>
        <w:rPr/>
        <w:t>červnu</w:t>
      </w:r>
      <w:r>
        <w:rPr>
          <w:spacing w:val="-8"/>
        </w:rPr>
        <w:t> </w:t>
      </w:r>
      <w:r>
        <w:rPr/>
        <w:t>2021</w:t>
      </w:r>
      <w:r>
        <w:rPr>
          <w:spacing w:val="-9"/>
        </w:rPr>
        <w:t> </w:t>
      </w:r>
      <w:r>
        <w:rPr/>
        <w:t>představen</w:t>
      </w:r>
      <w:r>
        <w:rPr>
          <w:spacing w:val="-4"/>
        </w:rPr>
        <w:t> </w:t>
      </w:r>
      <w:r>
        <w:rPr/>
        <w:t>Nový</w:t>
      </w:r>
      <w:r>
        <w:rPr>
          <w:spacing w:val="-4"/>
        </w:rPr>
        <w:t> </w:t>
      </w:r>
      <w:r>
        <w:rPr/>
        <w:t>Duster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na</w:t>
      </w:r>
      <w:r>
        <w:rPr>
          <w:spacing w:val="-5"/>
        </w:rPr>
        <w:t> </w:t>
      </w:r>
      <w:r>
        <w:rPr/>
        <w:t>autosalónu</w:t>
      </w:r>
      <w:r>
        <w:rPr>
          <w:spacing w:val="-8"/>
        </w:rPr>
        <w:t> </w:t>
      </w:r>
      <w:r>
        <w:rPr/>
        <w:t>v</w:t>
      </w:r>
      <w:r>
        <w:rPr>
          <w:spacing w:val="-2"/>
        </w:rPr>
        <w:t> </w:t>
      </w:r>
      <w:r>
        <w:rPr/>
        <w:t>Mnichově</w:t>
      </w:r>
      <w:r>
        <w:rPr>
          <w:spacing w:val="-10"/>
        </w:rPr>
        <w:t> </w:t>
      </w:r>
      <w:r>
        <w:rPr/>
        <w:t>představí</w:t>
      </w:r>
      <w:r>
        <w:rPr>
          <w:spacing w:val="-6"/>
        </w:rPr>
        <w:t> </w:t>
      </w:r>
      <w:r>
        <w:rPr/>
        <w:t>značka</w:t>
      </w:r>
      <w:r>
        <w:rPr>
          <w:spacing w:val="-10"/>
        </w:rPr>
        <w:t> </w:t>
      </w:r>
      <w:r>
        <w:rPr/>
        <w:t>v</w:t>
      </w:r>
      <w:r>
        <w:rPr>
          <w:spacing w:val="-1"/>
        </w:rPr>
        <w:t> </w:t>
      </w:r>
      <w:r>
        <w:rPr/>
        <w:t>září</w:t>
      </w:r>
      <w:r>
        <w:rPr>
          <w:spacing w:val="-7"/>
        </w:rPr>
        <w:t> </w:t>
      </w:r>
      <w:r>
        <w:rPr/>
        <w:t>svůj zcela nový polyvalentní sedmimístný rodinný</w:t>
      </w:r>
      <w:r>
        <w:rPr>
          <w:spacing w:val="-12"/>
        </w:rPr>
        <w:t> </w:t>
      </w:r>
      <w:r>
        <w:rPr/>
        <w:t>model.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35" w:lineRule="auto"/>
        <w:ind w:left="132" w:right="123"/>
        <w:jc w:val="both"/>
      </w:pPr>
      <w:r>
        <w:rPr/>
        <w:t>Značka LADA prodala v Rusku 200 219 vozidel (+ 51 %) a posiluje své první místo s 23 % podílem na trhu, což je nejlepší výsledek za posledních deset let. Mezi 10 nejvíce prodávanými vozidly v Rusku jsou čtyři modely LADY: na prvním místě je Granta (72 287 vozidel), na druhém místě je Vesta (57 031 vozidel) a v desítce je i NIVA s novým modelem Travel a novým Largusem, který byl na trh uveden v březnu.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40" w:lineRule="exact" w:before="187"/>
        <w:ind w:left="132" w:right="0" w:firstLine="0"/>
        <w:jc w:val="both"/>
        <w:rPr>
          <w:b/>
          <w:sz w:val="18"/>
        </w:rPr>
      </w:pPr>
      <w:r>
        <w:rPr>
          <w:b/>
          <w:sz w:val="18"/>
        </w:rPr>
        <w:t>O Skupině Renault</w:t>
      </w:r>
    </w:p>
    <w:p>
      <w:pPr>
        <w:spacing w:line="204" w:lineRule="auto" w:before="11"/>
        <w:ind w:left="132" w:right="124" w:firstLine="0"/>
        <w:jc w:val="both"/>
        <w:rPr>
          <w:sz w:val="18"/>
        </w:rPr>
      </w:pPr>
      <w:r>
        <w:rPr>
          <w:sz w:val="18"/>
        </w:rPr>
        <w:t>Skupina</w:t>
      </w:r>
      <w:r>
        <w:rPr>
          <w:spacing w:val="-5"/>
          <w:sz w:val="18"/>
        </w:rPr>
        <w:t> </w:t>
      </w:r>
      <w:r>
        <w:rPr>
          <w:sz w:val="18"/>
        </w:rPr>
        <w:t>Renault</w:t>
      </w:r>
      <w:r>
        <w:rPr>
          <w:spacing w:val="-7"/>
          <w:sz w:val="18"/>
        </w:rPr>
        <w:t> </w:t>
      </w:r>
      <w:r>
        <w:rPr>
          <w:sz w:val="18"/>
        </w:rPr>
        <w:t>je</w:t>
      </w:r>
      <w:r>
        <w:rPr>
          <w:spacing w:val="-8"/>
          <w:sz w:val="18"/>
        </w:rPr>
        <w:t> </w:t>
      </w:r>
      <w:r>
        <w:rPr>
          <w:sz w:val="18"/>
        </w:rPr>
        <w:t>v</w:t>
      </w:r>
      <w:r>
        <w:rPr>
          <w:spacing w:val="-1"/>
          <w:sz w:val="18"/>
        </w:rPr>
        <w:t> </w:t>
      </w:r>
      <w:r>
        <w:rPr>
          <w:sz w:val="18"/>
        </w:rPr>
        <w:t>popředí</w:t>
      </w:r>
      <w:r>
        <w:rPr>
          <w:spacing w:val="-8"/>
          <w:sz w:val="18"/>
        </w:rPr>
        <w:t> </w:t>
      </w:r>
      <w:r>
        <w:rPr>
          <w:sz w:val="18"/>
        </w:rPr>
        <w:t>mobility,</w:t>
      </w:r>
      <w:r>
        <w:rPr>
          <w:spacing w:val="-7"/>
          <w:sz w:val="18"/>
        </w:rPr>
        <w:t> </w:t>
      </w:r>
      <w:r>
        <w:rPr>
          <w:sz w:val="18"/>
        </w:rPr>
        <w:t>která</w:t>
      </w:r>
      <w:r>
        <w:rPr>
          <w:spacing w:val="-5"/>
          <w:sz w:val="18"/>
        </w:rPr>
        <w:t> </w:t>
      </w:r>
      <w:r>
        <w:rPr>
          <w:sz w:val="18"/>
        </w:rPr>
        <w:t>se</w:t>
      </w:r>
      <w:r>
        <w:rPr>
          <w:spacing w:val="-8"/>
          <w:sz w:val="18"/>
        </w:rPr>
        <w:t> </w:t>
      </w:r>
      <w:r>
        <w:rPr>
          <w:sz w:val="18"/>
        </w:rPr>
        <w:t>přetváří.</w:t>
      </w:r>
      <w:r>
        <w:rPr>
          <w:spacing w:val="-4"/>
          <w:sz w:val="18"/>
        </w:rPr>
        <w:t> </w:t>
      </w:r>
      <w:r>
        <w:rPr>
          <w:sz w:val="18"/>
        </w:rPr>
        <w:t>Skupina</w:t>
      </w:r>
      <w:r>
        <w:rPr>
          <w:spacing w:val="-4"/>
          <w:sz w:val="18"/>
        </w:rPr>
        <w:t> </w:t>
      </w:r>
      <w:r>
        <w:rPr>
          <w:sz w:val="18"/>
        </w:rPr>
        <w:t>Renault,</w:t>
      </w:r>
      <w:r>
        <w:rPr>
          <w:spacing w:val="-7"/>
          <w:sz w:val="18"/>
        </w:rPr>
        <w:t> </w:t>
      </w:r>
      <w:r>
        <w:rPr>
          <w:sz w:val="18"/>
        </w:rPr>
        <w:t>čerpající</w:t>
      </w:r>
      <w:r>
        <w:rPr>
          <w:spacing w:val="-8"/>
          <w:sz w:val="18"/>
        </w:rPr>
        <w:t> </w:t>
      </w:r>
      <w:r>
        <w:rPr>
          <w:sz w:val="18"/>
        </w:rPr>
        <w:t>sílu</w:t>
      </w:r>
      <w:r>
        <w:rPr>
          <w:spacing w:val="-5"/>
          <w:sz w:val="18"/>
        </w:rPr>
        <w:t> </w:t>
      </w:r>
      <w:r>
        <w:rPr>
          <w:sz w:val="18"/>
        </w:rPr>
        <w:t>ze</w:t>
      </w:r>
      <w:r>
        <w:rPr>
          <w:spacing w:val="-8"/>
          <w:sz w:val="18"/>
        </w:rPr>
        <w:t> </w:t>
      </w:r>
      <w:r>
        <w:rPr>
          <w:sz w:val="18"/>
        </w:rPr>
        <w:t>své</w:t>
      </w:r>
      <w:r>
        <w:rPr>
          <w:spacing w:val="-8"/>
          <w:sz w:val="18"/>
        </w:rPr>
        <w:t> </w:t>
      </w:r>
      <w:r>
        <w:rPr>
          <w:sz w:val="18"/>
        </w:rPr>
        <w:t>aliance</w:t>
      </w:r>
      <w:r>
        <w:rPr>
          <w:spacing w:val="-8"/>
          <w:sz w:val="18"/>
        </w:rPr>
        <w:t> </w:t>
      </w:r>
      <w:r>
        <w:rPr>
          <w:sz w:val="18"/>
        </w:rPr>
        <w:t>s</w:t>
      </w:r>
      <w:r>
        <w:rPr>
          <w:spacing w:val="-4"/>
          <w:sz w:val="18"/>
        </w:rPr>
        <w:t> </w:t>
      </w:r>
      <w:r>
        <w:rPr>
          <w:sz w:val="18"/>
        </w:rPr>
        <w:t>Nissanem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Mitsubishi</w:t>
      </w:r>
      <w:r>
        <w:rPr>
          <w:spacing w:val="-8"/>
          <w:sz w:val="18"/>
        </w:rPr>
        <w:t> </w:t>
      </w:r>
      <w:r>
        <w:rPr>
          <w:sz w:val="18"/>
        </w:rPr>
        <w:t>Motors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ze</w:t>
      </w:r>
      <w:r>
        <w:rPr>
          <w:spacing w:val="-8"/>
          <w:sz w:val="18"/>
        </w:rPr>
        <w:t> </w:t>
      </w:r>
      <w:r>
        <w:rPr>
          <w:sz w:val="18"/>
        </w:rPr>
        <w:t>své jedinečné zkušenosti s elektrifikací, vychází z komplementarity svých 5 značek – Renault – Dacia – LADA – Alpine a Mobilize – a nabízí svým zákazníkům řešení v oblasti trvale udržitelných a inovativních mobilit. Je přítomna ve více než 130 zemích a v roce 2020 prodala 2,9 milionu vozidel. Má 170 000 zaměstnanců, kteří každodenně dokazují, proč tu je, aby nás mobilita přiblížila jedny k druhým. Skupina, která je připravena reagovat na výzvy na silnici i na závodech, se zapojila do ambiciózní transformace vytvářející hodnoty. Tato transformace se soustřeďuje na vývoj nových technologií a služeb, nového sortimentu ještě více konkurenceschopných, vyrovnaných a elektrifikovaných vozidel. Ambicí skupiny Renault je dosáhnout v souladu s environmentálními výzvami uhlíkové neutrality v Evropě v roce 2050.</w:t>
      </w:r>
      <w:hyperlink r:id="rId9">
        <w:r>
          <w:rPr>
            <w:sz w:val="18"/>
          </w:rPr>
          <w:t> https://www.renaultgroup.com/</w:t>
        </w:r>
      </w:hyperlink>
    </w:p>
    <w:p>
      <w:pPr>
        <w:spacing w:after="0" w:line="204" w:lineRule="auto"/>
        <w:jc w:val="both"/>
        <w:rPr>
          <w:sz w:val="18"/>
        </w:rPr>
        <w:sectPr>
          <w:headerReference w:type="default" r:id="rId7"/>
          <w:footerReference w:type="default" r:id="rId8"/>
          <w:pgSz w:w="11910" w:h="16840"/>
          <w:pgMar w:header="852" w:footer="758" w:top="1860" w:bottom="940" w:left="720" w:right="7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8"/>
        </w:rPr>
      </w:pPr>
    </w:p>
    <w:p>
      <w:pPr>
        <w:pStyle w:val="BodyText"/>
        <w:ind w:left="641"/>
        <w:rPr>
          <w:sz w:val="20"/>
        </w:rPr>
      </w:pPr>
      <w:r>
        <w:rPr>
          <w:sz w:val="20"/>
        </w:rPr>
        <w:drawing>
          <wp:inline distT="0" distB="0" distL="0" distR="0">
            <wp:extent cx="5026857" cy="639337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857" cy="63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852" w:footer="758" w:top="1860" w:bottom="940" w:left="72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ind w:left="401"/>
        <w:rPr>
          <w:sz w:val="20"/>
        </w:rPr>
      </w:pPr>
      <w:r>
        <w:rPr>
          <w:sz w:val="20"/>
        </w:rPr>
        <w:drawing>
          <wp:inline distT="0" distB="0" distL="0" distR="0">
            <wp:extent cx="5527327" cy="3743610"/>
            <wp:effectExtent l="0" t="0" r="0" b="0"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327" cy="37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852" w:footer="758" w:top="1860" w:bottom="94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625pt;margin-top:788.924988pt;width:9.550pt;height:9pt;mso-position-horizontal-relative:page;mso-position-vertical-relative:page;z-index:-15786496" type="#_x0000_t202" filled="false" stroked="false">
          <v:textbox inset="0,0,0,0">
            <w:txbxContent>
              <w:p>
                <w:pPr>
                  <w:spacing w:line="163" w:lineRule="exact" w:before="0"/>
                  <w:ind w:left="60" w:right="0" w:firstLine="0"/>
                  <w:jc w:val="left"/>
                  <w:rPr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59.625pt;margin-top:788.924988pt;width:9.550pt;height:9pt;mso-position-horizontal-relative:page;mso-position-vertical-relative:page;z-index:-15784960" type="#_x0000_t202" filled="false" stroked="false">
          <v:textbox inset="0,0,0,0">
            <w:txbxContent>
              <w:p>
                <w:pPr>
                  <w:spacing w:line="163" w:lineRule="exact" w:before="0"/>
                  <w:ind w:left="60" w:right="0" w:firstLine="0"/>
                  <w:jc w:val="left"/>
                  <w:rPr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0496">
          <wp:simplePos x="0" y="0"/>
          <wp:positionH relativeFrom="page">
            <wp:posOffset>540384</wp:posOffset>
          </wp:positionH>
          <wp:positionV relativeFrom="page">
            <wp:posOffset>541019</wp:posOffset>
          </wp:positionV>
          <wp:extent cx="971372" cy="43878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372" cy="4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1.224998pt;margin-top:92.219986pt;width:513.15pt;height:1pt;mso-position-horizontal-relative:page;mso-position-vertical-relative:page;z-index:-15785472" filled="true" fillcolor="#00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52" w:hanging="360"/>
      </w:pPr>
      <w:rPr>
        <w:rFonts w:hint="default" w:ascii="Arial" w:hAnsi="Arial" w:eastAsia="Arial" w:cs="Arial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2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4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0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6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8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46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852"/>
      <w:jc w:val="both"/>
      <w:outlineLvl w:val="1"/>
    </w:pPr>
    <w:rPr>
      <w:rFonts w:ascii="Calibri" w:hAnsi="Calibri" w:eastAsia="Calibri" w:cs="Calibri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line="548" w:lineRule="exact"/>
      <w:ind w:left="132"/>
    </w:pPr>
    <w:rPr>
      <w:rFonts w:ascii="Calibri" w:hAnsi="Calibri" w:eastAsia="Calibri" w:cs="Calibri"/>
      <w:b/>
      <w:bCs/>
      <w:sz w:val="44"/>
      <w:szCs w:val="4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52" w:hanging="360"/>
      <w:jc w:val="both"/>
    </w:pPr>
    <w:rPr>
      <w:rFonts w:ascii="Calibri" w:hAnsi="Calibri" w:eastAsia="Calibri" w:cs="Calibr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s://www.renaultgroup.com/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dc:title>Communiqué de presse</dc:title>
  <dcterms:created xsi:type="dcterms:W3CDTF">2021-07-19T13:12:13Z</dcterms:created>
  <dcterms:modified xsi:type="dcterms:W3CDTF">2021-07-19T13:12:13Z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2021-07-19T00:00:00Z</vt:filetime>
  </property>
</Properties>
</file>