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712" w:val="left" w:leader="none"/>
        </w:tabs>
        <w:ind w:left="89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81159" cy="4434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59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4"/>
        </w:rPr>
        <w:drawing>
          <wp:inline distT="0" distB="0" distL="0" distR="0">
            <wp:extent cx="1106108" cy="3143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0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</w:rPr>
      </w:r>
    </w:p>
    <w:p>
      <w:pPr>
        <w:pStyle w:val="Title"/>
        <w:spacing w:before="127"/>
      </w:pPr>
      <w:r>
        <w:rPr/>
        <w:t>___________________________________________________________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Title"/>
      </w:pPr>
      <w:r>
        <w:rPr/>
        <w:t>Skupina Renault odhaluje své vize a poslání:</w:t>
      </w:r>
    </w:p>
    <w:p>
      <w:pPr>
        <w:spacing w:line="256" w:lineRule="auto" w:before="34"/>
        <w:ind w:left="216" w:right="762" w:firstLine="0"/>
        <w:jc w:val="left"/>
        <w:rPr>
          <w:rFonts w:ascii="Read-BoldItalic" w:hAnsi="Read-BoldItalic"/>
          <w:b/>
          <w:i/>
          <w:sz w:val="32"/>
        </w:rPr>
      </w:pPr>
      <w:r>
        <w:rPr>
          <w:rFonts w:ascii="Read-BoldItalic" w:hAnsi="Read-BoldItalic"/>
          <w:b/>
          <w:i/>
          <w:sz w:val="32"/>
        </w:rPr>
        <w:t>Pouštíme se s nadšením do inovací, abychom k sobě měli díky mobilitě blíže.</w:t>
      </w:r>
    </w:p>
    <w:p>
      <w:pPr>
        <w:pStyle w:val="BodyText"/>
        <w:rPr>
          <w:rFonts w:ascii="Read-BoldItalic"/>
          <w:b/>
          <w:i/>
          <w:sz w:val="44"/>
        </w:rPr>
      </w:pPr>
    </w:p>
    <w:p>
      <w:pPr>
        <w:pStyle w:val="BodyText"/>
        <w:spacing w:line="256" w:lineRule="auto" w:before="345"/>
        <w:ind w:left="216" w:right="211"/>
        <w:jc w:val="both"/>
      </w:pPr>
      <w:r>
        <w:rPr/>
        <w:t>U</w:t>
      </w:r>
      <w:r>
        <w:rPr>
          <w:spacing w:val="-6"/>
        </w:rPr>
        <w:t> </w:t>
      </w:r>
      <w:r>
        <w:rPr/>
        <w:t>příležitosti</w:t>
      </w:r>
      <w:r>
        <w:rPr>
          <w:spacing w:val="-4"/>
        </w:rPr>
        <w:t> </w:t>
      </w:r>
      <w:r>
        <w:rPr/>
        <w:t>valné</w:t>
      </w:r>
      <w:r>
        <w:rPr>
          <w:spacing w:val="-7"/>
        </w:rPr>
        <w:t> </w:t>
      </w:r>
      <w:r>
        <w:rPr/>
        <w:t>hromady,</w:t>
      </w:r>
      <w:r>
        <w:rPr>
          <w:spacing w:val="-7"/>
        </w:rPr>
        <w:t> </w:t>
      </w:r>
      <w:r>
        <w:rPr/>
        <w:t>která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konala</w:t>
      </w:r>
      <w:r>
        <w:rPr>
          <w:spacing w:val="-10"/>
        </w:rPr>
        <w:t> </w:t>
      </w:r>
      <w:r>
        <w:rPr/>
        <w:t>23.</w:t>
      </w:r>
      <w:r>
        <w:rPr>
          <w:spacing w:val="-8"/>
        </w:rPr>
        <w:t> </w:t>
      </w:r>
      <w:r>
        <w:rPr/>
        <w:t>dubna,</w:t>
      </w:r>
      <w:r>
        <w:rPr>
          <w:spacing w:val="-8"/>
        </w:rPr>
        <w:t> </w:t>
      </w:r>
      <w:r>
        <w:rPr/>
        <w:t>představila</w:t>
      </w:r>
      <w:r>
        <w:rPr>
          <w:spacing w:val="-1"/>
        </w:rPr>
        <w:t> </w:t>
      </w:r>
      <w:r>
        <w:rPr/>
        <w:t>Skupina</w:t>
      </w:r>
      <w:r>
        <w:rPr>
          <w:spacing w:val="-7"/>
        </w:rPr>
        <w:t> </w:t>
      </w:r>
      <w:r>
        <w:rPr/>
        <w:t>Renault</w:t>
      </w:r>
      <w:r>
        <w:rPr>
          <w:spacing w:val="-5"/>
        </w:rPr>
        <w:t> </w:t>
      </w:r>
      <w:r>
        <w:rPr/>
        <w:t>svým</w:t>
      </w:r>
      <w:r>
        <w:rPr>
          <w:spacing w:val="-12"/>
        </w:rPr>
        <w:t> </w:t>
      </w:r>
      <w:r>
        <w:rPr/>
        <w:t>akcionářům své</w:t>
      </w:r>
      <w:r>
        <w:rPr>
          <w:spacing w:val="-7"/>
        </w:rPr>
        <w:t> </w:t>
      </w:r>
      <w:r>
        <w:rPr/>
        <w:t>vize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poslání</w:t>
      </w:r>
      <w:r>
        <w:rPr>
          <w:spacing w:val="-12"/>
        </w:rPr>
        <w:t> </w:t>
      </w:r>
      <w:r>
        <w:rPr/>
        <w:t>pro</w:t>
      </w:r>
      <w:r>
        <w:rPr>
          <w:spacing w:val="-7"/>
        </w:rPr>
        <w:t> </w:t>
      </w:r>
      <w:r>
        <w:rPr/>
        <w:t>nadcházející</w:t>
      </w:r>
      <w:r>
        <w:rPr>
          <w:spacing w:val="-12"/>
        </w:rPr>
        <w:t> </w:t>
      </w:r>
      <w:r>
        <w:rPr/>
        <w:t>období.</w:t>
      </w:r>
      <w:r>
        <w:rPr>
          <w:spacing w:val="-11"/>
        </w:rPr>
        <w:t> </w:t>
      </w:r>
      <w:r>
        <w:rPr/>
        <w:t>V</w:t>
      </w:r>
      <w:r>
        <w:rPr>
          <w:spacing w:val="-2"/>
        </w:rPr>
        <w:t> </w:t>
      </w:r>
      <w:r>
        <w:rPr/>
        <w:t>úzké</w:t>
      </w:r>
      <w:r>
        <w:rPr>
          <w:spacing w:val="-6"/>
        </w:rPr>
        <w:t> </w:t>
      </w:r>
      <w:r>
        <w:rPr/>
        <w:t>spolupráci</w:t>
      </w:r>
      <w:r>
        <w:rPr>
          <w:spacing w:val="-12"/>
        </w:rPr>
        <w:t> </w:t>
      </w:r>
      <w:r>
        <w:rPr/>
        <w:t>se</w:t>
      </w:r>
      <w:r>
        <w:rPr>
          <w:spacing w:val="-6"/>
        </w:rPr>
        <w:t> </w:t>
      </w:r>
      <w:r>
        <w:rPr/>
        <w:t>všemi</w:t>
      </w:r>
      <w:r>
        <w:rPr>
          <w:spacing w:val="-12"/>
        </w:rPr>
        <w:t> </w:t>
      </w:r>
      <w:r>
        <w:rPr/>
        <w:t>svými</w:t>
      </w:r>
      <w:r>
        <w:rPr>
          <w:spacing w:val="-8"/>
        </w:rPr>
        <w:t> </w:t>
      </w:r>
      <w:r>
        <w:rPr/>
        <w:t>zaměstnanci,</w:t>
      </w:r>
      <w:r>
        <w:rPr>
          <w:spacing w:val="-8"/>
        </w:rPr>
        <w:t> </w:t>
      </w:r>
      <w:r>
        <w:rPr/>
        <w:t>v</w:t>
      </w:r>
      <w:r>
        <w:rPr>
          <w:spacing w:val="1"/>
        </w:rPr>
        <w:t> </w:t>
      </w:r>
      <w:r>
        <w:rPr/>
        <w:t>součinnosti se všemi zainteresovanými stranami a po schválení představenstvem vyjasňuje Skupina Renault svou ambici a obsahovou náplň tohoto kolektivně vytvářeného projektu s dosahem pro Francii i celý</w:t>
      </w:r>
      <w:r>
        <w:rPr>
          <w:spacing w:val="-20"/>
        </w:rPr>
        <w:t> </w:t>
      </w:r>
      <w:r>
        <w:rPr/>
        <w:t>svět:</w:t>
      </w:r>
    </w:p>
    <w:p>
      <w:pPr>
        <w:pStyle w:val="BodyText"/>
        <w:spacing w:before="9"/>
        <w:rPr>
          <w:sz w:val="21"/>
        </w:rPr>
      </w:pPr>
    </w:p>
    <w:p>
      <w:pPr>
        <w:spacing w:line="259" w:lineRule="auto" w:before="0"/>
        <w:ind w:left="2909" w:right="2894" w:firstLine="216"/>
        <w:jc w:val="left"/>
        <w:rPr>
          <w:i/>
          <w:sz w:val="20"/>
        </w:rPr>
      </w:pPr>
      <w:r>
        <w:rPr>
          <w:i/>
          <w:sz w:val="20"/>
        </w:rPr>
        <w:t>„Pouštíme se s nadšením do inovací, abychom k sobě měli díky mobilitě blíže.“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56" w:lineRule="auto"/>
        <w:ind w:left="216" w:right="213"/>
        <w:jc w:val="both"/>
      </w:pPr>
      <w:r>
        <w:rPr/>
        <w:t>Tato</w:t>
      </w:r>
      <w:r>
        <w:rPr>
          <w:spacing w:val="-9"/>
        </w:rPr>
        <w:t> </w:t>
      </w:r>
      <w:r>
        <w:rPr/>
        <w:t>věta</w:t>
      </w:r>
      <w:r>
        <w:rPr>
          <w:spacing w:val="-11"/>
        </w:rPr>
        <w:t> </w:t>
      </w:r>
      <w:r>
        <w:rPr/>
        <w:t>vystihuje</w:t>
      </w:r>
      <w:r>
        <w:rPr>
          <w:spacing w:val="-11"/>
        </w:rPr>
        <w:t> </w:t>
      </w:r>
      <w:r>
        <w:rPr/>
        <w:t>úsilí</w:t>
      </w:r>
      <w:r>
        <w:rPr>
          <w:spacing w:val="-13"/>
        </w:rPr>
        <w:t> </w:t>
      </w:r>
      <w:r>
        <w:rPr/>
        <w:t>celé</w:t>
      </w:r>
      <w:r>
        <w:rPr>
          <w:spacing w:val="-11"/>
        </w:rPr>
        <w:t> </w:t>
      </w:r>
      <w:r>
        <w:rPr/>
        <w:t>Skupiny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jejích</w:t>
      </w:r>
      <w:r>
        <w:rPr>
          <w:spacing w:val="-16"/>
        </w:rPr>
        <w:t> </w:t>
      </w:r>
      <w:r>
        <w:rPr/>
        <w:t>170 000</w:t>
      </w:r>
      <w:r>
        <w:rPr>
          <w:spacing w:val="-7"/>
        </w:rPr>
        <w:t> </w:t>
      </w:r>
      <w:r>
        <w:rPr/>
        <w:t>zaměstnanců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zdůrazňuje</w:t>
      </w:r>
      <w:r>
        <w:rPr>
          <w:spacing w:val="-11"/>
        </w:rPr>
        <w:t> </w:t>
      </w:r>
      <w:r>
        <w:rPr/>
        <w:t>podstatu</w:t>
      </w:r>
      <w:r>
        <w:rPr>
          <w:spacing w:val="-11"/>
        </w:rPr>
        <w:t> </w:t>
      </w:r>
      <w:r>
        <w:rPr/>
        <w:t>jejího</w:t>
      </w:r>
      <w:r>
        <w:rPr>
          <w:spacing w:val="-9"/>
        </w:rPr>
        <w:t> </w:t>
      </w:r>
      <w:r>
        <w:rPr/>
        <w:t>poslání orientující se na zákazníky Skupiny i všechny zainteresované strany. Odhodlání Skupiny Renault jít cestou inovací svědčí jednak o hluboce lidské a ušlechtilé motivaci Renaultu a zároveň vypovídá i o kreativitě, vynalézavosti a technické vyspělosti</w:t>
      </w:r>
      <w:r>
        <w:rPr>
          <w:spacing w:val="4"/>
        </w:rPr>
        <w:t> </w:t>
      </w:r>
      <w:r>
        <w:rPr/>
        <w:t>Skupiny.</w:t>
      </w:r>
    </w:p>
    <w:p>
      <w:pPr>
        <w:pStyle w:val="BodyText"/>
        <w:spacing w:before="8"/>
        <w:rPr>
          <w:sz w:val="21"/>
        </w:rPr>
      </w:pPr>
    </w:p>
    <w:p>
      <w:pPr>
        <w:spacing w:line="256" w:lineRule="auto" w:before="0"/>
        <w:ind w:left="216" w:right="210" w:firstLine="0"/>
        <w:jc w:val="both"/>
        <w:rPr>
          <w:sz w:val="20"/>
        </w:rPr>
      </w:pPr>
      <w:r>
        <w:rPr>
          <w:i/>
          <w:sz w:val="20"/>
        </w:rPr>
        <w:t>„U Renaultu jsou technologie a inovace vždy orientovány na každého jednotlivce, nikdy v jejich neprospěch. Prvořadým cílem je totiž snaha být si navzájem blíže. Produktem mobility dnešní doby je svoboda a do budoucna bude tento aspekt ještě patrnější.“</w:t>
      </w:r>
      <w:r>
        <w:rPr>
          <w:sz w:val="20"/>
        </w:rPr>
        <w:t>, zdůraznil </w:t>
      </w:r>
      <w:r>
        <w:rPr>
          <w:b/>
          <w:sz w:val="20"/>
        </w:rPr>
        <w:t>Jean-Dominique Senard, předseda představenstva Renaultu</w:t>
      </w:r>
      <w:r>
        <w:rPr>
          <w:sz w:val="20"/>
        </w:rPr>
        <w:t>, během svého vystoupení, kde vyložil vize Skupiny Renault.</w:t>
      </w:r>
    </w:p>
    <w:p>
      <w:pPr>
        <w:pStyle w:val="BodyText"/>
        <w:rPr>
          <w:sz w:val="22"/>
        </w:rPr>
      </w:pPr>
    </w:p>
    <w:p>
      <w:pPr>
        <w:spacing w:line="256" w:lineRule="auto" w:before="0"/>
        <w:ind w:left="216" w:right="211" w:firstLine="0"/>
        <w:jc w:val="both"/>
        <w:rPr>
          <w:i/>
          <w:sz w:val="20"/>
        </w:rPr>
      </w:pPr>
      <w:r>
        <w:rPr>
          <w:sz w:val="20"/>
        </w:rPr>
        <w:t>Upozornil rovněž na hnací sílu konkurenceschopnosti, kterou to představuje: </w:t>
      </w:r>
      <w:r>
        <w:rPr>
          <w:i/>
          <w:sz w:val="20"/>
        </w:rPr>
        <w:t>„Síla podniku, jeho kontinuální činnost a dlouhodobá dynamika závisí na vhodném nastavení jeho hodnot, řízení a strategie i na patřičném vymezení celkové vize a poslání podniku. Toto nastavení vychází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samotné podstaty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odrazem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bezprostředního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smyslu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celého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konání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základem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budování důvěry, hrdosti na přináležitost k celku, motivaci a angažovanost všech podílejících se na společném projektu… a je tedy základem i pro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výkonnost.“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BodyText"/>
        <w:spacing w:line="256" w:lineRule="auto" w:before="1"/>
        <w:ind w:left="216" w:right="208"/>
        <w:jc w:val="both"/>
      </w:pPr>
      <w:r>
        <w:rPr/>
        <w:t>Koncepce</w:t>
      </w:r>
      <w:r>
        <w:rPr>
          <w:spacing w:val="-10"/>
        </w:rPr>
        <w:t> </w:t>
      </w:r>
      <w:r>
        <w:rPr/>
        <w:t>vymezující</w:t>
      </w:r>
      <w:r>
        <w:rPr>
          <w:spacing w:val="-12"/>
        </w:rPr>
        <w:t> </w:t>
      </w:r>
      <w:r>
        <w:rPr/>
        <w:t>vize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poslání</w:t>
      </w:r>
      <w:r>
        <w:rPr>
          <w:spacing w:val="-13"/>
        </w:rPr>
        <w:t> </w:t>
      </w:r>
      <w:r>
        <w:rPr/>
        <w:t>Skupiny</w:t>
      </w:r>
      <w:r>
        <w:rPr>
          <w:spacing w:val="-7"/>
        </w:rPr>
        <w:t> </w:t>
      </w:r>
      <w:r>
        <w:rPr>
          <w:spacing w:val="-3"/>
        </w:rPr>
        <w:t>je</w:t>
      </w:r>
      <w:r>
        <w:rPr>
          <w:spacing w:val="-11"/>
        </w:rPr>
        <w:t> </w:t>
      </w:r>
      <w:r>
        <w:rPr/>
        <w:t>výsledkem</w:t>
      </w:r>
      <w:r>
        <w:rPr>
          <w:spacing w:val="-11"/>
        </w:rPr>
        <w:t> </w:t>
      </w:r>
      <w:r>
        <w:rPr/>
        <w:t>úsilí</w:t>
      </w:r>
      <w:r>
        <w:rPr>
          <w:spacing w:val="-13"/>
        </w:rPr>
        <w:t> </w:t>
      </w:r>
      <w:r>
        <w:rPr/>
        <w:t>celého</w:t>
      </w:r>
      <w:r>
        <w:rPr>
          <w:spacing w:val="-7"/>
        </w:rPr>
        <w:t> </w:t>
      </w:r>
      <w:r>
        <w:rPr/>
        <w:t>kolektivu.</w:t>
      </w:r>
      <w:r>
        <w:rPr>
          <w:spacing w:val="-2"/>
        </w:rPr>
        <w:t> </w:t>
      </w:r>
      <w:r>
        <w:rPr/>
        <w:t>Na</w:t>
      </w:r>
      <w:r>
        <w:rPr>
          <w:spacing w:val="-11"/>
        </w:rPr>
        <w:t> </w:t>
      </w:r>
      <w:r>
        <w:rPr/>
        <w:t>počátku</w:t>
      </w:r>
      <w:r>
        <w:rPr>
          <w:spacing w:val="-6"/>
        </w:rPr>
        <w:t> </w:t>
      </w:r>
      <w:r>
        <w:rPr/>
        <w:t>analyzovaly pracovní skupiny stovky pohovorů se zaměstnanci z velkého množství oborů a zemí, a to </w:t>
      </w:r>
      <w:r>
        <w:rPr>
          <w:spacing w:val="-3"/>
        </w:rPr>
        <w:t>ve </w:t>
      </w:r>
      <w:r>
        <w:rPr/>
        <w:t>výrobních subjektech i na úrovni generálního ředitelství. Současně probíhala studie zaměřená na podnikovou kulturu. Tato práce byla rovněž doplněna o diskuse s externími zainteresovanými stranami (partneři, investoři, nevládní</w:t>
      </w:r>
      <w:r>
        <w:rPr>
          <w:spacing w:val="2"/>
        </w:rPr>
        <w:t> </w:t>
      </w:r>
      <w:r>
        <w:rPr/>
        <w:t>organizace…).</w:t>
      </w:r>
    </w:p>
    <w:p>
      <w:pPr>
        <w:spacing w:after="0" w:line="256" w:lineRule="auto"/>
        <w:jc w:val="both"/>
        <w:sectPr>
          <w:footerReference w:type="default" r:id="rId5"/>
          <w:type w:val="continuous"/>
          <w:pgSz w:w="11910" w:h="16840"/>
          <w:pgMar w:footer="342" w:top="1220" w:bottom="540" w:left="1200" w:right="1200"/>
        </w:sectPr>
      </w:pPr>
    </w:p>
    <w:p>
      <w:pPr>
        <w:pStyle w:val="BodyText"/>
        <w:spacing w:line="256" w:lineRule="auto" w:before="79"/>
        <w:ind w:left="216" w:right="212"/>
        <w:jc w:val="both"/>
      </w:pPr>
      <w:r>
        <w:rPr/>
        <w:t>S cílem jasně vysvětlit vize a poslání podniku zamýšlela jít Skupina dále než Výbor zainteresovaných stran, a proto před koncem roku vytvořila </w:t>
      </w:r>
      <w:r>
        <w:rPr>
          <w:b/>
        </w:rPr>
        <w:t>Výbor pro vize a poslání</w:t>
      </w:r>
      <w:r>
        <w:rPr/>
        <w:t>. Tento výbor tvořený mezinárodními osobnostmi z velmi rozmanitých oblastí a oborů objasnil představenstvu prostřednictvím svých provedených analýz a doporučení vize a strategie Skupiny.</w:t>
      </w:r>
    </w:p>
    <w:p>
      <w:pPr>
        <w:pStyle w:val="BodyText"/>
        <w:rPr>
          <w:sz w:val="28"/>
        </w:rPr>
      </w:pPr>
    </w:p>
    <w:p>
      <w:pPr>
        <w:pStyle w:val="Heading1"/>
        <w:spacing w:before="208"/>
        <w:ind w:left="216"/>
      </w:pPr>
      <w:r>
        <w:rPr>
          <w:color w:val="808080"/>
        </w:rPr>
        <w:t>Vize a poslání Skupiny Renault:</w:t>
      </w:r>
    </w:p>
    <w:p>
      <w:pPr>
        <w:pStyle w:val="BodyText"/>
        <w:spacing w:before="9"/>
        <w:rPr>
          <w:b/>
        </w:rPr>
      </w:pPr>
      <w:r>
        <w:rPr/>
        <w:pict>
          <v:shape style="position:absolute;margin-left:65.224998pt;margin-top:16.448601pt;width:465pt;height:299.25pt;mso-position-horizontal-relative:page;mso-position-vertical-relative:paragraph;z-index:-15728640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spacing w:line="513" w:lineRule="auto" w:before="19"/>
                    <w:ind w:left="108" w:right="2035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z w:val="20"/>
                    </w:rPr>
                    <w:t>Pouštíme se s nadšením do inovací, abychom k sobě měli díky mobilitě blíže. Věříme v pokrok, který je odpovědný a respektuje každého člověka.</w:t>
                  </w:r>
                </w:p>
                <w:p>
                  <w:pPr>
                    <w:pStyle w:val="BodyText"/>
                    <w:spacing w:line="256" w:lineRule="auto"/>
                    <w:ind w:left="108" w:right="100"/>
                    <w:jc w:val="both"/>
                  </w:pPr>
                  <w:r>
                    <w:rPr>
                      <w:color w:val="808080"/>
                    </w:rPr>
                    <w:t>Od  roku 1898  je naše  historie psána  nadšenci, kteří vytvářejí inovativní vozidla,  jež jsou  v souladu   s naladěním široké veřejnosti a která mají potenciál provázet nás našimi životy. Mobilita je totiž zdrojem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naplnění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svobody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my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chceme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přispět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k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rozvoji,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který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je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díky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ní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možný.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Svoboda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pohybu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jde ruku v ruce s ochranou naší planety. Pracujeme tedy </w:t>
                  </w:r>
                  <w:r>
                    <w:rPr>
                      <w:color w:val="808080"/>
                      <w:spacing w:val="-3"/>
                    </w:rPr>
                    <w:t>na </w:t>
                  </w:r>
                  <w:r>
                    <w:rPr>
                      <w:color w:val="808080"/>
                    </w:rPr>
                    <w:t>tom, abychom se podíleli </w:t>
                  </w:r>
                  <w:r>
                    <w:rPr>
                      <w:color w:val="808080"/>
                      <w:spacing w:val="-3"/>
                    </w:rPr>
                    <w:t>na </w:t>
                  </w:r>
                  <w:r>
                    <w:rPr>
                      <w:color w:val="808080"/>
                    </w:rPr>
                    <w:t>zlepšování života nás všech a omezili náš negativní vliv na životní prostředí a zdroje. Zaměřujeme se na to, abychom se neustále zlepšovali, a </w:t>
                  </w:r>
                  <w:r>
                    <w:rPr>
                      <w:color w:val="808080"/>
                      <w:spacing w:val="-3"/>
                    </w:rPr>
                    <w:t>na </w:t>
                  </w:r>
                  <w:r>
                    <w:rPr>
                      <w:color w:val="808080"/>
                    </w:rPr>
                    <w:t>proměňování mobility tak, aby tady byla pro všechny a aby byla stále bezpečnější.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08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z w:val="20"/>
                    </w:rPr>
                    <w:t>Máme odvahu a budoucnost vyhlížíme s optimismem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line="256" w:lineRule="auto"/>
                    <w:ind w:left="108" w:right="103"/>
                    <w:jc w:val="both"/>
                  </w:pPr>
                  <w:r>
                    <w:rPr>
                      <w:color w:val="808080"/>
                    </w:rPr>
                    <w:t>Každý</w:t>
                  </w:r>
                  <w:r>
                    <w:rPr>
                      <w:color w:val="808080"/>
                      <w:spacing w:val="-7"/>
                    </w:rPr>
                    <w:t> </w:t>
                  </w:r>
                  <w:r>
                    <w:rPr>
                      <w:color w:val="808080"/>
                    </w:rPr>
                    <w:t>si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u</w:t>
                  </w:r>
                  <w:r>
                    <w:rPr>
                      <w:color w:val="808080"/>
                      <w:spacing w:val="-9"/>
                    </w:rPr>
                    <w:t> </w:t>
                  </w:r>
                  <w:r>
                    <w:rPr>
                      <w:color w:val="808080"/>
                    </w:rPr>
                    <w:t>nás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může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najít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své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místo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může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se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podílet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na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utváření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společné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vzrušující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budoucnosti.</w:t>
                  </w:r>
                  <w:r>
                    <w:rPr>
                      <w:color w:val="808080"/>
                      <w:spacing w:val="-7"/>
                    </w:rPr>
                    <w:t> </w:t>
                  </w:r>
                  <w:r>
                    <w:rPr>
                      <w:color w:val="808080"/>
                    </w:rPr>
                    <w:t>Jsme hrdí na naši rozmanitost, naše francouzské kořeny i naše mezinárodní působení, díky kterému jsme otevření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vůči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celému</w:t>
                  </w:r>
                  <w:r>
                    <w:rPr>
                      <w:color w:val="808080"/>
                      <w:spacing w:val="-6"/>
                    </w:rPr>
                    <w:t> </w:t>
                  </w:r>
                  <w:r>
                    <w:rPr>
                      <w:color w:val="808080"/>
                    </w:rPr>
                    <w:t>světu.</w:t>
                  </w:r>
                  <w:r>
                    <w:rPr>
                      <w:color w:val="808080"/>
                      <w:spacing w:val="-8"/>
                    </w:rPr>
                    <w:t> </w:t>
                  </w:r>
                  <w:r>
                    <w:rPr>
                      <w:color w:val="808080"/>
                    </w:rPr>
                    <w:t>Partnerství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v</w:t>
                  </w:r>
                  <w:r>
                    <w:rPr>
                      <w:color w:val="808080"/>
                      <w:spacing w:val="2"/>
                    </w:rPr>
                    <w:t> </w:t>
                  </w:r>
                  <w:r>
                    <w:rPr>
                      <w:color w:val="808080"/>
                    </w:rPr>
                    <w:t>rámci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Aliance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nás</w:t>
                  </w:r>
                  <w:r>
                    <w:rPr>
                      <w:color w:val="808080"/>
                      <w:spacing w:val="-7"/>
                    </w:rPr>
                    <w:t> </w:t>
                  </w:r>
                  <w:r>
                    <w:rPr>
                      <w:color w:val="808080"/>
                    </w:rPr>
                    <w:t>posiluje</w:t>
                  </w:r>
                  <w:r>
                    <w:rPr>
                      <w:color w:val="808080"/>
                      <w:spacing w:val="-7"/>
                    </w:rPr>
                    <w:t> </w:t>
                  </w:r>
                  <w:r>
                    <w:rPr>
                      <w:color w:val="808080"/>
                    </w:rPr>
                    <w:t>stejně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</w:rPr>
                    <w:t>jako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podnětné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vztahy,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které budujeme s našimi partnery. Od samého počátku naší existence nás naše nadšení pro inovace žene stále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kupředu.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Vytváříme</w:t>
                  </w:r>
                  <w:r>
                    <w:rPr>
                      <w:color w:val="808080"/>
                      <w:spacing w:val="-8"/>
                    </w:rPr>
                    <w:t> </w:t>
                  </w:r>
                  <w:r>
                    <w:rPr>
                      <w:color w:val="808080"/>
                    </w:rPr>
                    <w:t>tak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hodnoty,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předvídáme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potřeby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spjaté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s</w:t>
                  </w:r>
                  <w:r>
                    <w:rPr>
                      <w:color w:val="808080"/>
                      <w:spacing w:val="2"/>
                    </w:rPr>
                    <w:t> </w:t>
                  </w:r>
                  <w:r>
                    <w:rPr>
                      <w:color w:val="808080"/>
                    </w:rPr>
                    <w:t>mobilitou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umožňujeme</w:t>
                  </w:r>
                  <w:r>
                    <w:rPr>
                      <w:color w:val="808080"/>
                      <w:spacing w:val="-8"/>
                    </w:rPr>
                    <w:t> </w:t>
                  </w:r>
                  <w:r>
                    <w:rPr>
                      <w:color w:val="808080"/>
                    </w:rPr>
                    <w:t>lidem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mít k sobě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blíže.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spacing w:before="98"/>
        <w:ind w:left="216" w:right="0" w:firstLine="0"/>
        <w:jc w:val="both"/>
        <w:rPr>
          <w:b/>
          <w:sz w:val="20"/>
        </w:rPr>
      </w:pPr>
      <w:r>
        <w:rPr>
          <w:b/>
          <w:sz w:val="20"/>
        </w:rPr>
        <w:t>O Skupině Renault</w:t>
      </w:r>
    </w:p>
    <w:p>
      <w:pPr>
        <w:pStyle w:val="BodyText"/>
        <w:spacing w:before="12"/>
        <w:rPr>
          <w:b/>
          <w:sz w:val="22"/>
        </w:rPr>
      </w:pPr>
    </w:p>
    <w:p>
      <w:pPr>
        <w:spacing w:line="256" w:lineRule="auto" w:before="1"/>
        <w:ind w:left="216" w:right="217" w:firstLine="0"/>
        <w:jc w:val="both"/>
        <w:rPr>
          <w:sz w:val="16"/>
        </w:rPr>
      </w:pPr>
      <w:r>
        <w:rPr>
          <w:sz w:val="16"/>
        </w:rPr>
        <w:t>Skupina Renault je v popředí mobility, která se přetváří. Skupina Renault, čerpající sílu ze své aliance s Nissanem a Mitsubishi Motors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ze</w:t>
      </w:r>
      <w:r>
        <w:rPr>
          <w:spacing w:val="-8"/>
          <w:sz w:val="16"/>
        </w:rPr>
        <w:t> </w:t>
      </w:r>
      <w:r>
        <w:rPr>
          <w:sz w:val="16"/>
        </w:rPr>
        <w:t>své</w:t>
      </w:r>
      <w:r>
        <w:rPr>
          <w:spacing w:val="-8"/>
          <w:sz w:val="16"/>
        </w:rPr>
        <w:t> </w:t>
      </w:r>
      <w:r>
        <w:rPr>
          <w:sz w:val="16"/>
        </w:rPr>
        <w:t>jedinečné</w:t>
      </w:r>
      <w:r>
        <w:rPr>
          <w:spacing w:val="-9"/>
          <w:sz w:val="16"/>
        </w:rPr>
        <w:t> </w:t>
      </w:r>
      <w:r>
        <w:rPr>
          <w:sz w:val="16"/>
        </w:rPr>
        <w:t>zkušenosti</w:t>
      </w:r>
      <w:r>
        <w:rPr>
          <w:spacing w:val="-8"/>
          <w:sz w:val="16"/>
        </w:rPr>
        <w:t> </w:t>
      </w:r>
      <w:r>
        <w:rPr>
          <w:sz w:val="16"/>
        </w:rPr>
        <w:t>s</w:t>
      </w:r>
      <w:r>
        <w:rPr>
          <w:spacing w:val="-1"/>
          <w:sz w:val="16"/>
        </w:rPr>
        <w:t> </w:t>
      </w:r>
      <w:r>
        <w:rPr>
          <w:sz w:val="16"/>
        </w:rPr>
        <w:t>elektrifikací,</w:t>
      </w:r>
      <w:r>
        <w:rPr>
          <w:spacing w:val="-10"/>
          <w:sz w:val="16"/>
        </w:rPr>
        <w:t> </w:t>
      </w:r>
      <w:r>
        <w:rPr>
          <w:sz w:val="16"/>
        </w:rPr>
        <w:t>vychází</w:t>
      </w:r>
      <w:r>
        <w:rPr>
          <w:spacing w:val="-12"/>
          <w:sz w:val="16"/>
        </w:rPr>
        <w:t> </w:t>
      </w:r>
      <w:r>
        <w:rPr>
          <w:sz w:val="16"/>
        </w:rPr>
        <w:t>z</w:t>
      </w:r>
      <w:r>
        <w:rPr>
          <w:spacing w:val="-1"/>
          <w:sz w:val="16"/>
        </w:rPr>
        <w:t> </w:t>
      </w:r>
      <w:r>
        <w:rPr>
          <w:sz w:val="16"/>
        </w:rPr>
        <w:t>komplementarity</w:t>
      </w:r>
      <w:r>
        <w:rPr>
          <w:spacing w:val="-10"/>
          <w:sz w:val="16"/>
        </w:rPr>
        <w:t> </w:t>
      </w:r>
      <w:r>
        <w:rPr>
          <w:sz w:val="16"/>
        </w:rPr>
        <w:t>svých</w:t>
      </w:r>
      <w:r>
        <w:rPr>
          <w:spacing w:val="-9"/>
          <w:sz w:val="16"/>
        </w:rPr>
        <w:t> </w:t>
      </w:r>
      <w:r>
        <w:rPr>
          <w:sz w:val="16"/>
        </w:rPr>
        <w:t>5</w:t>
      </w:r>
      <w:r>
        <w:rPr>
          <w:spacing w:val="-9"/>
          <w:sz w:val="16"/>
        </w:rPr>
        <w:t> </w:t>
      </w:r>
      <w:r>
        <w:rPr>
          <w:sz w:val="16"/>
        </w:rPr>
        <w:t>značek</w:t>
      </w:r>
      <w:r>
        <w:rPr>
          <w:spacing w:val="-11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Renault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11"/>
          <w:sz w:val="16"/>
        </w:rPr>
        <w:t> </w:t>
      </w:r>
      <w:r>
        <w:rPr>
          <w:sz w:val="16"/>
        </w:rPr>
        <w:t>Dacia</w:t>
      </w:r>
      <w:r>
        <w:rPr>
          <w:spacing w:val="-11"/>
          <w:sz w:val="16"/>
        </w:rPr>
        <w:t> </w:t>
      </w:r>
      <w:r>
        <w:rPr>
          <w:sz w:val="16"/>
        </w:rPr>
        <w:t>–</w:t>
      </w:r>
      <w:r>
        <w:rPr>
          <w:spacing w:val="-8"/>
          <w:sz w:val="16"/>
        </w:rPr>
        <w:t> </w:t>
      </w:r>
      <w:r>
        <w:rPr>
          <w:sz w:val="16"/>
        </w:rPr>
        <w:t>LADA</w:t>
      </w:r>
      <w:r>
        <w:rPr>
          <w:spacing w:val="-11"/>
          <w:sz w:val="16"/>
        </w:rPr>
        <w:t> </w:t>
      </w:r>
      <w:r>
        <w:rPr>
          <w:sz w:val="16"/>
        </w:rPr>
        <w:t>–</w:t>
      </w:r>
      <w:r>
        <w:rPr>
          <w:spacing w:val="-8"/>
          <w:sz w:val="16"/>
        </w:rPr>
        <w:t> </w:t>
      </w:r>
      <w:r>
        <w:rPr>
          <w:sz w:val="16"/>
        </w:rPr>
        <w:t>Alpine a Mobilize – a nabízí svým zákazníkům řešení v oblasti trvale udržitelných a inovativních mobilit. Je přítomna ve více než 130 zemích a v roce 2020 prodala 2,95 milionu vozidel. Má 170 000 zaměstnanců, kteří každodenně prokazují její vize a poslání a pracují na tom, abychom si byli díky mobilitě navzájem blíže. Skupina, která je připravena reagovat na výzvy na silnici i v oblasti konkurenceschopnosti, se zapojila do ambiciózní transformace vytvářející skutečné hodnoty. Tato transformace se soustřeďuje na vývoj nových technologií a služeb, nového sortimentu ještě více konkurenceschopných, vyrovnaných a elektrifikovaných vozidel. Ambicí Skupiny Renault je dosáhnout v souladu s environmentálními výzvami uhlíkové neutrality v Evropě v roce 2050. </w:t>
      </w:r>
      <w:hyperlink r:id="rId8">
        <w:r>
          <w:rPr>
            <w:sz w:val="16"/>
          </w:rPr>
          <w:t>www.group.renault.com</w:t>
        </w:r>
      </w:hyperlink>
    </w:p>
    <w:sectPr>
      <w:pgSz w:w="11910" w:h="16840"/>
      <w:pgMar w:header="0" w:footer="342" w:top="1040" w:bottom="54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ead">
    <w:altName w:val="Read"/>
    <w:charset w:val="0"/>
    <w:family w:val="roman"/>
    <w:pitch w:val="variable"/>
  </w:font>
  <w:font w:name="Read-BoldItalic">
    <w:altName w:val="Read-Bold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350006pt;margin-top:813.722229pt;width:65pt;height:13.2pt;mso-position-horizontal-relative:page;mso-position-vertical-relative:page;z-index:-157685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Confidential C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8"/>
      <w:jc w:val="both"/>
      <w:outlineLvl w:val="1"/>
    </w:pPr>
    <w:rPr>
      <w:rFonts w:ascii="Read" w:hAnsi="Read" w:eastAsia="Read" w:cs="Read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216"/>
    </w:pPr>
    <w:rPr>
      <w:rFonts w:ascii="Read" w:hAnsi="Read" w:eastAsia="Read" w:cs="Read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roup.renaul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dcterms:created xsi:type="dcterms:W3CDTF">2021-05-03T19:04:52Z</dcterms:created>
  <dcterms:modified xsi:type="dcterms:W3CDTF">2021-05-03T19:04:52Z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2021-05-03T00:00:00Z</vt:filetime>
  </property>
</Properties>
</file>