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TISKOVÁ ZPRÁVA 22.4.2021</w:t>
      </w:r>
    </w:p>
    <w:p>
      <w:pPr>
        <w:spacing w:before="32"/>
        <w:ind w:left="0" w:right="590" w:firstLine="0"/>
        <w:jc w:val="right"/>
        <w:rPr>
          <w:b/>
          <w:sz w:val="24"/>
        </w:rPr>
      </w:pPr>
      <w:r>
        <w:rPr>
          <w:b/>
          <w:sz w:val="24"/>
        </w:rPr>
        <w:t>#RenaultResults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Title"/>
        <w:tabs>
          <w:tab w:pos="1188" w:val="left" w:leader="none"/>
          <w:tab w:pos="1739" w:val="left" w:leader="none"/>
          <w:tab w:pos="2219" w:val="left" w:leader="none"/>
          <w:tab w:pos="3590" w:val="left" w:leader="none"/>
          <w:tab w:pos="5456" w:val="left" w:leader="none"/>
          <w:tab w:pos="6984" w:val="left" w:leader="none"/>
          <w:tab w:pos="8882" w:val="left" w:leader="none"/>
        </w:tabs>
        <w:spacing w:line="249" w:lineRule="auto"/>
      </w:pPr>
      <w:r>
        <w:rPr/>
        <w:t>Obrat</w:t>
        <w:tab/>
        <w:t>za</w:t>
        <w:tab/>
        <w:t>1.</w:t>
        <w:tab/>
        <w:t>čtvrtletí</w:t>
        <w:tab/>
        <w:t>podpořený</w:t>
        <w:tab/>
        <w:t>cenovou</w:t>
        <w:tab/>
        <w:t>disciplínou</w:t>
        <w:tab/>
      </w:r>
      <w:r>
        <w:rPr>
          <w:spacing w:val="-8"/>
        </w:rPr>
        <w:t>za </w:t>
      </w:r>
      <w:r>
        <w:rPr/>
        <w:t>situace, která je stále negativně ovlivňována</w:t>
      </w:r>
      <w:r>
        <w:rPr>
          <w:spacing w:val="-4"/>
        </w:rPr>
        <w:t> </w:t>
      </w:r>
      <w:r>
        <w:rPr/>
        <w:t>pandemií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28" w:lineRule="auto" w:before="0" w:after="0"/>
        <w:ind w:left="404" w:right="584" w:hanging="284"/>
        <w:jc w:val="left"/>
        <w:rPr>
          <w:b/>
          <w:sz w:val="26"/>
        </w:rPr>
      </w:pPr>
      <w:r>
        <w:rPr>
          <w:b/>
          <w:position w:val="2"/>
          <w:sz w:val="26"/>
        </w:rPr>
        <w:t>Skupina vykázala v 1. čtvrtletí roku 2021 obrat  10 miliard eur (-1,1 %). </w:t>
      </w:r>
      <w:r>
        <w:rPr>
          <w:b/>
          <w:sz w:val="26"/>
        </w:rPr>
        <w:t> V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případě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porovnatelného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směnného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kurzu</w:t>
      </w:r>
      <w:r>
        <w:rPr>
          <w:b/>
          <w:sz w:val="26"/>
          <w:vertAlign w:val="superscript"/>
        </w:rPr>
        <w:t>1</w:t>
      </w:r>
      <w:r>
        <w:rPr>
          <w:b/>
          <w:spacing w:val="-11"/>
          <w:sz w:val="26"/>
          <w:vertAlign w:val="baseline"/>
        </w:rPr>
        <w:t> </w:t>
      </w:r>
      <w:r>
        <w:rPr>
          <w:b/>
          <w:sz w:val="26"/>
          <w:vertAlign w:val="baseline"/>
        </w:rPr>
        <w:t>by</w:t>
      </w:r>
      <w:r>
        <w:rPr>
          <w:b/>
          <w:spacing w:val="-12"/>
          <w:sz w:val="26"/>
          <w:vertAlign w:val="baseline"/>
        </w:rPr>
        <w:t> </w:t>
      </w:r>
      <w:r>
        <w:rPr>
          <w:b/>
          <w:sz w:val="26"/>
          <w:vertAlign w:val="baseline"/>
        </w:rPr>
        <w:t>se</w:t>
      </w:r>
      <w:r>
        <w:rPr>
          <w:b/>
          <w:spacing w:val="-14"/>
          <w:sz w:val="26"/>
          <w:vertAlign w:val="baseline"/>
        </w:rPr>
        <w:t> </w:t>
      </w:r>
      <w:r>
        <w:rPr>
          <w:b/>
          <w:sz w:val="26"/>
          <w:vertAlign w:val="baseline"/>
        </w:rPr>
        <w:t>jednalo</w:t>
      </w:r>
      <w:r>
        <w:rPr>
          <w:b/>
          <w:spacing w:val="-15"/>
          <w:sz w:val="26"/>
          <w:vertAlign w:val="baseline"/>
        </w:rPr>
        <w:t> </w:t>
      </w:r>
      <w:r>
        <w:rPr>
          <w:b/>
          <w:sz w:val="26"/>
          <w:vertAlign w:val="baseline"/>
        </w:rPr>
        <w:t>o</w:t>
      </w:r>
      <w:r>
        <w:rPr>
          <w:b/>
          <w:spacing w:val="-15"/>
          <w:sz w:val="26"/>
          <w:vertAlign w:val="baseline"/>
        </w:rPr>
        <w:t> </w:t>
      </w:r>
      <w:r>
        <w:rPr>
          <w:b/>
          <w:sz w:val="26"/>
          <w:vertAlign w:val="baseline"/>
        </w:rPr>
        <w:t>nárůst</w:t>
      </w:r>
      <w:r>
        <w:rPr>
          <w:b/>
          <w:spacing w:val="-11"/>
          <w:sz w:val="26"/>
          <w:vertAlign w:val="baseline"/>
        </w:rPr>
        <w:t> </w:t>
      </w:r>
      <w:r>
        <w:rPr>
          <w:b/>
          <w:sz w:val="26"/>
          <w:vertAlign w:val="baseline"/>
        </w:rPr>
        <w:t>o</w:t>
      </w:r>
      <w:r>
        <w:rPr>
          <w:b/>
          <w:spacing w:val="-11"/>
          <w:sz w:val="26"/>
          <w:vertAlign w:val="baseline"/>
        </w:rPr>
        <w:t> </w:t>
      </w:r>
      <w:r>
        <w:rPr>
          <w:b/>
          <w:sz w:val="26"/>
          <w:vertAlign w:val="baseline"/>
        </w:rPr>
        <w:t>4,4</w:t>
      </w:r>
    </w:p>
    <w:p>
      <w:pPr>
        <w:spacing w:before="4"/>
        <w:ind w:left="404" w:right="0" w:firstLine="0"/>
        <w:jc w:val="left"/>
        <w:rPr>
          <w:b/>
          <w:sz w:val="26"/>
        </w:rPr>
      </w:pPr>
      <w:r>
        <w:rPr>
          <w:b/>
          <w:sz w:val="26"/>
        </w:rPr>
        <w:t>%.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35" w:lineRule="auto" w:before="117" w:after="0"/>
        <w:ind w:left="404" w:right="588" w:hanging="284"/>
        <w:jc w:val="both"/>
        <w:rPr>
          <w:b/>
          <w:sz w:val="26"/>
        </w:rPr>
      </w:pPr>
      <w:r>
        <w:rPr>
          <w:b/>
          <w:position w:val="2"/>
          <w:sz w:val="26"/>
        </w:rPr>
        <w:t>Obrat automobilky mimo </w:t>
      </w:r>
      <w:r>
        <w:rPr>
          <w:b/>
          <w:position w:val="4"/>
          <w:sz w:val="24"/>
        </w:rPr>
        <w:t>AVTOVAZ </w:t>
      </w:r>
      <w:r>
        <w:rPr>
          <w:b/>
          <w:position w:val="2"/>
          <w:sz w:val="26"/>
        </w:rPr>
        <w:t>se ustálil na 8,6 miliardách eur.</w:t>
      </w:r>
      <w:r>
        <w:rPr>
          <w:b/>
          <w:sz w:val="26"/>
        </w:rPr>
        <w:t> Podstatnou</w:t>
      </w:r>
      <w:r>
        <w:rPr>
          <w:b/>
          <w:spacing w:val="-16"/>
          <w:sz w:val="26"/>
        </w:rPr>
        <w:t> </w:t>
      </w:r>
      <w:r>
        <w:rPr>
          <w:b/>
          <w:sz w:val="26"/>
        </w:rPr>
        <w:t>skutečností</w:t>
      </w:r>
      <w:r>
        <w:rPr>
          <w:b/>
          <w:spacing w:val="-23"/>
          <w:sz w:val="26"/>
        </w:rPr>
        <w:t> </w:t>
      </w:r>
      <w:r>
        <w:rPr>
          <w:b/>
          <w:sz w:val="26"/>
        </w:rPr>
        <w:t>za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toto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čtvrtletí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je</w:t>
      </w:r>
      <w:r>
        <w:rPr>
          <w:b/>
          <w:spacing w:val="-21"/>
          <w:sz w:val="26"/>
        </w:rPr>
        <w:t> </w:t>
      </w:r>
      <w:r>
        <w:rPr>
          <w:b/>
          <w:sz w:val="26"/>
        </w:rPr>
        <w:t>cenový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efekt,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který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je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pozitivní o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více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než</w:t>
      </w:r>
      <w:r>
        <w:rPr>
          <w:b/>
          <w:spacing w:val="63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bodů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díky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nové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obchodní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politice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strategického</w:t>
      </w:r>
      <w:r>
        <w:rPr>
          <w:b/>
          <w:spacing w:val="58"/>
          <w:sz w:val="26"/>
        </w:rPr>
        <w:t> </w:t>
      </w:r>
      <w:r>
        <w:rPr>
          <w:b/>
          <w:sz w:val="26"/>
        </w:rPr>
        <w:t>plánu</w:t>
      </w:r>
    </w:p>
    <w:p>
      <w:pPr>
        <w:spacing w:before="0"/>
        <w:ind w:left="404" w:right="0" w:firstLine="0"/>
        <w:jc w:val="left"/>
        <w:rPr>
          <w:b/>
          <w:sz w:val="26"/>
        </w:rPr>
      </w:pPr>
      <w:r>
        <w:rPr>
          <w:b/>
          <w:sz w:val="26"/>
        </w:rPr>
        <w:t>„Renaulution“.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28" w:lineRule="auto" w:before="125" w:after="0"/>
        <w:ind w:left="404" w:right="589" w:hanging="284"/>
        <w:jc w:val="both"/>
        <w:rPr>
          <w:b/>
          <w:sz w:val="26"/>
        </w:rPr>
      </w:pPr>
      <w:r>
        <w:rPr>
          <w:b/>
          <w:position w:val="2"/>
          <w:sz w:val="26"/>
        </w:rPr>
        <w:t>Celosvětové prodeje skupiny vzrostly o 1,1 % na 665 038 vozidel v 1.</w:t>
      </w:r>
      <w:r>
        <w:rPr>
          <w:b/>
          <w:sz w:val="26"/>
        </w:rPr>
        <w:t> čtvrtletí.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32" w:lineRule="auto" w:before="128" w:after="0"/>
        <w:ind w:left="404" w:right="590" w:hanging="284"/>
        <w:jc w:val="both"/>
        <w:rPr>
          <w:b/>
          <w:sz w:val="26"/>
        </w:rPr>
      </w:pPr>
      <w:r>
        <w:rPr>
          <w:b/>
          <w:position w:val="2"/>
          <w:sz w:val="26"/>
        </w:rPr>
        <w:t>Značka Renault prodala v 1. čtvrtletí roku 2021 celkem 42 951</w:t>
      </w:r>
      <w:r>
        <w:rPr>
          <w:b/>
          <w:sz w:val="26"/>
        </w:rPr>
        <w:t> elektromobilů a hybridních vozidel. Renault bude od druhého čtvrtletí nabízet tři nové E-TECH hybridy a hybridy s možností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dobíjení.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35" w:lineRule="auto" w:before="123" w:after="0"/>
        <w:ind w:left="404" w:right="590" w:hanging="284"/>
        <w:jc w:val="both"/>
        <w:rPr>
          <w:b/>
          <w:sz w:val="26"/>
        </w:rPr>
      </w:pPr>
      <w:r>
        <w:rPr>
          <w:b/>
          <w:position w:val="2"/>
          <w:sz w:val="26"/>
        </w:rPr>
        <w:t>Dacia zaznamenává dobré výsledky se svými novými modely. Uvedení</w:t>
      </w:r>
      <w:r>
        <w:rPr>
          <w:b/>
          <w:sz w:val="26"/>
        </w:rPr>
        <w:t> Nového Sandera s více než 3 měsíci prodejů v portfoliu je úspěchem. Nová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Dacia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Spring,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první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elektromobil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značky,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již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zaznamenala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přibližně 10 000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předobjednávek.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sz w:val="24"/>
        </w:rPr>
        <w:t>Boulogne-Billancourt, 22/04/2021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OBCHODNÍ VÝSLEDKY: PODSTATNÉ SKUTEČNOSTI ZA PRVNÍ ČTVRTLETÍ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582"/>
        <w:jc w:val="both"/>
      </w:pPr>
      <w:r>
        <w:rPr>
          <w:b/>
        </w:rPr>
        <w:t>Skupina Renault </w:t>
      </w:r>
      <w:r>
        <w:rPr/>
        <w:t>prodala za situace, která je stále negativně ovlivňována pandemií, v 1. čtvrtletí roku 2021 celkem 665 038 vozidel, což představuje nárůst o 1,1 % oproti 1. čtvrtletí roku 2020. Takovýto začátek roku potvrzuje pozitivní vliv obchodní politiky skupiny zaměřené na</w:t>
      </w:r>
      <w:r>
        <w:rPr>
          <w:spacing w:val="-7"/>
        </w:rPr>
        <w:t> </w:t>
      </w:r>
      <w:r>
        <w:rPr/>
        <w:t>ziskovost</w:t>
      </w:r>
      <w:r>
        <w:rPr>
          <w:spacing w:val="-9"/>
        </w:rPr>
        <w:t> </w:t>
      </w:r>
      <w:r>
        <w:rPr/>
        <w:t>s</w:t>
      </w:r>
      <w:r>
        <w:rPr>
          <w:spacing w:val="-1"/>
        </w:rPr>
        <w:t> </w:t>
      </w:r>
      <w:r>
        <w:rPr/>
        <w:t>cenovým</w:t>
      </w:r>
      <w:r>
        <w:rPr>
          <w:spacing w:val="-7"/>
        </w:rPr>
        <w:t> </w:t>
      </w:r>
      <w:r>
        <w:rPr/>
        <w:t>efektem</w:t>
      </w:r>
      <w:r>
        <w:rPr>
          <w:spacing w:val="-8"/>
        </w:rPr>
        <w:t> </w:t>
      </w:r>
      <w:r>
        <w:rPr/>
        <w:t>vyšším</w:t>
      </w:r>
      <w:r>
        <w:rPr>
          <w:spacing w:val="-7"/>
        </w:rPr>
        <w:t> </w:t>
      </w:r>
      <w:r>
        <w:rPr/>
        <w:t>než</w:t>
      </w:r>
      <w:r>
        <w:rPr>
          <w:spacing w:val="-3"/>
        </w:rPr>
        <w:t> </w:t>
      </w:r>
      <w:r>
        <w:rPr/>
        <w:t>6</w:t>
      </w:r>
      <w:r>
        <w:rPr>
          <w:spacing w:val="-10"/>
        </w:rPr>
        <w:t> </w:t>
      </w:r>
      <w:r>
        <w:rPr/>
        <w:t>bodů.</w:t>
      </w:r>
      <w:r>
        <w:rPr>
          <w:spacing w:val="-9"/>
        </w:rPr>
        <w:t> </w:t>
      </w:r>
      <w:r>
        <w:rPr/>
        <w:t>Skupina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kromě</w:t>
      </w:r>
      <w:r>
        <w:rPr>
          <w:spacing w:val="-6"/>
        </w:rPr>
        <w:t> </w:t>
      </w:r>
      <w:r>
        <w:rPr/>
        <w:t>toho</w:t>
      </w:r>
      <w:r>
        <w:rPr>
          <w:spacing w:val="-7"/>
        </w:rPr>
        <w:t> </w:t>
      </w:r>
      <w:r>
        <w:rPr/>
        <w:t>zlepšuje</w:t>
      </w:r>
      <w:r>
        <w:rPr>
          <w:spacing w:val="-6"/>
        </w:rPr>
        <w:t> </w:t>
      </w:r>
      <w:r>
        <w:rPr/>
        <w:t>v</w:t>
      </w:r>
      <w:r>
        <w:rPr>
          <w:spacing w:val="1"/>
        </w:rPr>
        <w:t> </w:t>
      </w:r>
      <w:r>
        <w:rPr/>
        <w:t>oblasti nejrentabilnějších prodejních</w:t>
      </w:r>
      <w:r>
        <w:rPr>
          <w:spacing w:val="-1"/>
        </w:rPr>
        <w:t> </w:t>
      </w:r>
      <w:r>
        <w:rPr/>
        <w:t>kanálů.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Značka Renault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20" w:right="541"/>
      </w:pPr>
      <w:r>
        <w:rPr>
          <w:b/>
        </w:rPr>
        <w:t>Značka Renault </w:t>
      </w:r>
      <w:r>
        <w:rPr/>
        <w:t>prodala v 1. čtvrtletí roku 2021 celkem 433 662 vozidel, což představuje nárůst o 1,3 % oproti 1. čtvrtletí roku 2020.</w:t>
      </w:r>
    </w:p>
    <w:p>
      <w:pPr>
        <w:pStyle w:val="BodyText"/>
        <w:spacing w:before="1"/>
      </w:pPr>
    </w:p>
    <w:p>
      <w:pPr>
        <w:pStyle w:val="BodyText"/>
        <w:ind w:left="120" w:right="588"/>
        <w:jc w:val="both"/>
      </w:pPr>
      <w:r>
        <w:rPr>
          <w:b/>
        </w:rPr>
        <w:t>V Evropě </w:t>
      </w:r>
      <w:r>
        <w:rPr/>
        <w:t>vzrostl trh o 3,9 %, což bylo podpořeno růstem trhu s užitkovými vozidly. V této situaci prodala značka Renault 250 163 vozidel (+2,7 %).</w:t>
      </w:r>
    </w:p>
    <w:p>
      <w:pPr>
        <w:pStyle w:val="BodyText"/>
        <w:ind w:left="120" w:right="581"/>
        <w:jc w:val="both"/>
      </w:pPr>
      <w:r>
        <w:rPr/>
        <w:t>Na trhu osobních vozidel v Evropě představují elektrické a elektrifikované verze značky Renault</w:t>
      </w:r>
      <w:r>
        <w:rPr>
          <w:spacing w:val="-18"/>
        </w:rPr>
        <w:t> </w:t>
      </w:r>
      <w:r>
        <w:rPr/>
        <w:t>23</w:t>
      </w:r>
      <w:r>
        <w:rPr>
          <w:spacing w:val="-15"/>
        </w:rPr>
        <w:t> </w:t>
      </w:r>
      <w:r>
        <w:rPr/>
        <w:t>%</w:t>
      </w:r>
      <w:r>
        <w:rPr>
          <w:spacing w:val="-19"/>
        </w:rPr>
        <w:t> </w:t>
      </w:r>
      <w:r>
        <w:rPr/>
        <w:t>všech</w:t>
      </w:r>
      <w:r>
        <w:rPr>
          <w:spacing w:val="-15"/>
        </w:rPr>
        <w:t> </w:t>
      </w:r>
      <w:r>
        <w:rPr/>
        <w:t>nově</w:t>
      </w:r>
      <w:r>
        <w:rPr>
          <w:spacing w:val="-15"/>
        </w:rPr>
        <w:t> </w:t>
      </w:r>
      <w:r>
        <w:rPr/>
        <w:t>registrovaných</w:t>
      </w:r>
      <w:r>
        <w:rPr>
          <w:spacing w:val="-19"/>
        </w:rPr>
        <w:t> </w:t>
      </w:r>
      <w:r>
        <w:rPr/>
        <w:t>vozidel.</w:t>
      </w:r>
      <w:r>
        <w:rPr>
          <w:spacing w:val="-17"/>
        </w:rPr>
        <w:t> </w:t>
      </w:r>
      <w:r>
        <w:rPr/>
        <w:t>Po</w:t>
      </w:r>
      <w:r>
        <w:rPr>
          <w:spacing w:val="-15"/>
        </w:rPr>
        <w:t> </w:t>
      </w:r>
      <w:r>
        <w:rPr/>
        <w:t>příchodu</w:t>
      </w:r>
      <w:r>
        <w:rPr>
          <w:spacing w:val="-14"/>
        </w:rPr>
        <w:t> </w:t>
      </w:r>
      <w:r>
        <w:rPr/>
        <w:t>Twinga</w:t>
      </w:r>
      <w:r>
        <w:rPr>
          <w:spacing w:val="-15"/>
        </w:rPr>
        <w:t> </w:t>
      </w:r>
      <w:r>
        <w:rPr/>
        <w:t>E-TECH</w:t>
      </w:r>
      <w:r>
        <w:rPr>
          <w:spacing w:val="-15"/>
        </w:rPr>
        <w:t> </w:t>
      </w:r>
      <w:r>
        <w:rPr/>
        <w:t>Electric</w:t>
      </w:r>
      <w:r>
        <w:rPr>
          <w:spacing w:val="-14"/>
        </w:rPr>
        <w:t> </w:t>
      </w:r>
      <w:r>
        <w:rPr/>
        <w:t>obohatí značka</w:t>
      </w:r>
      <w:r>
        <w:rPr>
          <w:spacing w:val="-6"/>
        </w:rPr>
        <w:t> </w:t>
      </w:r>
      <w:r>
        <w:rPr/>
        <w:t>Renault</w:t>
      </w:r>
      <w:r>
        <w:rPr>
          <w:spacing w:val="-8"/>
        </w:rPr>
        <w:t> </w:t>
      </w:r>
      <w:r>
        <w:rPr/>
        <w:t>svou</w:t>
      </w:r>
      <w:r>
        <w:rPr>
          <w:spacing w:val="-7"/>
        </w:rPr>
        <w:t> </w:t>
      </w:r>
      <w:r>
        <w:rPr/>
        <w:t>nabídku</w:t>
      </w:r>
      <w:r>
        <w:rPr>
          <w:spacing w:val="-6"/>
        </w:rPr>
        <w:t> </w:t>
      </w:r>
      <w:r>
        <w:rPr/>
        <w:t>v</w:t>
      </w:r>
      <w:r>
        <w:rPr>
          <w:spacing w:val="-1"/>
        </w:rPr>
        <w:t> </w:t>
      </w:r>
      <w:r>
        <w:rPr/>
        <w:t>druhém</w:t>
      </w:r>
      <w:r>
        <w:rPr>
          <w:spacing w:val="-7"/>
        </w:rPr>
        <w:t> </w:t>
      </w:r>
      <w:r>
        <w:rPr/>
        <w:t>čtvrtletí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Novou</w:t>
      </w:r>
      <w:r>
        <w:rPr>
          <w:spacing w:val="-4"/>
        </w:rPr>
        <w:t> </w:t>
      </w:r>
      <w:r>
        <w:rPr/>
        <w:t>Arkanu</w:t>
      </w:r>
      <w:r>
        <w:rPr>
          <w:spacing w:val="-6"/>
        </w:rPr>
        <w:t> </w:t>
      </w:r>
      <w:r>
        <w:rPr/>
        <w:t>E-TECH</w:t>
      </w:r>
      <w:r>
        <w:rPr>
          <w:spacing w:val="-7"/>
        </w:rPr>
        <w:t> </w:t>
      </w:r>
      <w:r>
        <w:rPr/>
        <w:t>hybrid,</w:t>
      </w:r>
      <w:r>
        <w:rPr>
          <w:spacing w:val="-8"/>
        </w:rPr>
        <w:t> </w:t>
      </w:r>
      <w:r>
        <w:rPr/>
        <w:t>Nový</w:t>
      </w:r>
      <w:r>
        <w:rPr>
          <w:spacing w:val="-5"/>
        </w:rPr>
        <w:t> </w:t>
      </w:r>
      <w:r>
        <w:rPr/>
        <w:t>Captur E-TECH hybrid a Nový hybridní Mégane hatchback E-TECH s možností</w:t>
      </w:r>
      <w:r>
        <w:rPr>
          <w:spacing w:val="-10"/>
        </w:rPr>
        <w:t> </w:t>
      </w:r>
      <w:r>
        <w:rPr/>
        <w:t>dobíjení.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20" w:right="585"/>
        <w:jc w:val="both"/>
      </w:pPr>
      <w:r>
        <w:rPr>
          <w:b/>
        </w:rPr>
        <w:t>V zahraničí  </w:t>
      </w:r>
      <w:r>
        <w:rPr/>
        <w:t>se Renault  zaměřuje  na  nejvíce  ziskové  segmenty:  v Indii  uvedla  značka   s úspěchem do silně rostoucího segmentu kompaktních SUV Nový Kiger; a v Rusku se dobře rozjely</w:t>
      </w:r>
      <w:r>
        <w:rPr>
          <w:spacing w:val="-18"/>
        </w:rPr>
        <w:t> </w:t>
      </w:r>
      <w:r>
        <w:rPr/>
        <w:t>prodeje</w:t>
      </w:r>
      <w:r>
        <w:rPr>
          <w:spacing w:val="-17"/>
        </w:rPr>
        <w:t> </w:t>
      </w:r>
      <w:r>
        <w:rPr/>
        <w:t>nového</w:t>
      </w:r>
      <w:r>
        <w:rPr>
          <w:spacing w:val="-18"/>
        </w:rPr>
        <w:t> </w:t>
      </w:r>
      <w:r>
        <w:rPr/>
        <w:t>modelu</w:t>
      </w:r>
      <w:r>
        <w:rPr>
          <w:spacing w:val="-16"/>
        </w:rPr>
        <w:t> </w:t>
      </w:r>
      <w:r>
        <w:rPr/>
        <w:t>Duster,</w:t>
      </w:r>
      <w:r>
        <w:rPr>
          <w:spacing w:val="-20"/>
        </w:rPr>
        <w:t> </w:t>
      </w:r>
      <w:r>
        <w:rPr/>
        <w:t>který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prodává</w:t>
      </w:r>
      <w:r>
        <w:rPr>
          <w:spacing w:val="-18"/>
        </w:rPr>
        <w:t> </w:t>
      </w:r>
      <w:r>
        <w:rPr/>
        <w:t>ve</w:t>
      </w:r>
      <w:r>
        <w:rPr>
          <w:spacing w:val="-18"/>
        </w:rPr>
        <w:t> </w:t>
      </w:r>
      <w:r>
        <w:rPr/>
        <w:t>verzích</w:t>
      </w:r>
      <w:r>
        <w:rPr>
          <w:spacing w:val="-18"/>
        </w:rPr>
        <w:t> </w:t>
      </w:r>
      <w:r>
        <w:rPr/>
        <w:t>s</w:t>
      </w:r>
      <w:r>
        <w:rPr>
          <w:spacing w:val="1"/>
        </w:rPr>
        <w:t> </w:t>
      </w:r>
      <w:r>
        <w:rPr/>
        <w:t>velkým</w:t>
      </w:r>
      <w:r>
        <w:rPr>
          <w:spacing w:val="-19"/>
        </w:rPr>
        <w:t> </w:t>
      </w:r>
      <w:r>
        <w:rPr/>
        <w:t>ziskem</w:t>
      </w:r>
      <w:r>
        <w:rPr>
          <w:spacing w:val="-22"/>
        </w:rPr>
        <w:t> </w:t>
      </w:r>
      <w:r>
        <w:rPr/>
        <w:t>od</w:t>
      </w:r>
      <w:r>
        <w:rPr>
          <w:spacing w:val="-18"/>
        </w:rPr>
        <w:t> </w:t>
      </w:r>
      <w:r>
        <w:rPr/>
        <w:t>začátku</w:t>
      </w: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85.025002pt;margin-top:13.805581pt;width:144.050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3" w:lineRule="auto" w:before="40"/>
        <w:ind w:left="120" w:right="541" w:firstLine="0"/>
        <w:jc w:val="left"/>
        <w:rPr>
          <w:i/>
          <w:sz w:val="14"/>
        </w:rPr>
      </w:pPr>
      <w:r>
        <w:rPr>
          <w:rFonts w:ascii="Calibri" w:hAnsi="Calibri"/>
          <w:w w:val="95"/>
          <w:position w:val="7"/>
          <w:sz w:val="13"/>
        </w:rPr>
        <w:t>1</w:t>
      </w:r>
      <w:r>
        <w:rPr>
          <w:rFonts w:ascii="Calibri" w:hAnsi="Calibri"/>
          <w:spacing w:val="-7"/>
          <w:w w:val="95"/>
          <w:position w:val="7"/>
          <w:sz w:val="13"/>
        </w:rPr>
        <w:t> </w:t>
      </w:r>
      <w:r>
        <w:rPr>
          <w:i/>
          <w:w w:val="95"/>
          <w:sz w:val="14"/>
        </w:rPr>
        <w:t>Pro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účely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analýzy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změny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konsolidovaného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obratu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se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stálým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směnným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kurzem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parametry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přepočítává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skupina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Renault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obrat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za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stávající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účetní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období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za použití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průměrných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ročních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směnných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kurzů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za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předchozí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období,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čímž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vyloučí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podstatné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změny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parametrů,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k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nimž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došlo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v</w:t>
      </w:r>
      <w:r>
        <w:rPr>
          <w:i/>
          <w:spacing w:val="-15"/>
          <w:w w:val="95"/>
          <w:sz w:val="14"/>
        </w:rPr>
        <w:t> </w:t>
      </w:r>
      <w:r>
        <w:rPr>
          <w:i/>
          <w:w w:val="95"/>
          <w:sz w:val="14"/>
        </w:rPr>
        <w:t>průběhu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účetního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období.</w:t>
      </w:r>
    </w:p>
    <w:p>
      <w:pPr>
        <w:spacing w:after="0" w:line="273" w:lineRule="auto"/>
        <w:jc w:val="left"/>
        <w:rPr>
          <w:sz w:val="14"/>
        </w:rPr>
        <w:sectPr>
          <w:headerReference w:type="default" r:id="rId5"/>
          <w:type w:val="continuous"/>
          <w:pgSz w:w="11920" w:h="16840"/>
          <w:pgMar w:header="566" w:top="1200" w:bottom="0" w:left="1580" w:right="520"/>
        </w:sectPr>
      </w:pPr>
    </w:p>
    <w:p>
      <w:pPr>
        <w:pStyle w:val="BodyText"/>
        <w:spacing w:before="83"/>
        <w:ind w:left="120"/>
      </w:pPr>
      <w:r>
        <w:rPr/>
        <w:t>března.</w:t>
      </w:r>
    </w:p>
    <w:p>
      <w:pPr>
        <w:pStyle w:val="BodyText"/>
        <w:spacing w:before="1"/>
      </w:pPr>
    </w:p>
    <w:p>
      <w:pPr>
        <w:pStyle w:val="Heading1"/>
      </w:pPr>
      <w:r>
        <w:rPr/>
        <w:t>Značky Dacia a Lada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9" w:lineRule="auto" w:before="1"/>
        <w:ind w:left="120" w:right="584"/>
        <w:jc w:val="both"/>
      </w:pPr>
      <w:r>
        <w:rPr/>
        <w:t>Značka </w:t>
      </w:r>
      <w:r>
        <w:rPr>
          <w:b/>
        </w:rPr>
        <w:t>Dacia </w:t>
      </w:r>
      <w:r>
        <w:rPr/>
        <w:t>prodala 121 231 vozidel (+10,2 %) díky úspěchu s uvedením Nového Sandera na trh a dobrým prodejům Dustera. Nová 100 % elektrická Dacia Spring bude patrně úspěšná vzhledem k již zaevidovaným předobjednávkám.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20" w:right="594"/>
        <w:jc w:val="both"/>
      </w:pPr>
      <w:r>
        <w:rPr/>
        <w:t>Značka </w:t>
      </w:r>
      <w:r>
        <w:rPr>
          <w:b/>
        </w:rPr>
        <w:t>Lada </w:t>
      </w:r>
      <w:r>
        <w:rPr/>
        <w:t>prodala 90 472 vozidel s dobrými výsledky na domácím ruském trhu (+5,4 %), které táhly Granta, Vesta a úspěšné uvedení NIVY Travel na trh.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jc w:val="both"/>
      </w:pPr>
      <w:r>
        <w:rPr/>
        <w:t>OBRAT ZA ČTVRTLETÍ PO PROVOZNÍCH SEGMENTECH</w:t>
      </w:r>
    </w:p>
    <w:p>
      <w:pPr>
        <w:pStyle w:val="BodyText"/>
        <w:spacing w:line="247" w:lineRule="auto" w:before="131"/>
        <w:ind w:left="120" w:right="585"/>
        <w:jc w:val="both"/>
      </w:pPr>
      <w:r>
        <w:rPr/>
        <w:t>V prvním čtvrtletí roku 2021 dosáhl </w:t>
      </w:r>
      <w:r>
        <w:rPr>
          <w:b/>
        </w:rPr>
        <w:t>obrat skupiny </w:t>
      </w:r>
      <w:r>
        <w:rPr/>
        <w:t>10 015 milionů eur (-1,1 %). V případě stálého směnného kurzu a parametrů</w:t>
      </w:r>
      <w:r>
        <w:rPr>
          <w:vertAlign w:val="superscript"/>
        </w:rPr>
        <w:t>1</w:t>
      </w:r>
      <w:r>
        <w:rPr>
          <w:vertAlign w:val="baseline"/>
        </w:rPr>
        <w:t> by se jednalo o nárůst o 4,4 %.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20"/>
      </w:pPr>
      <w:r>
        <w:rPr/>
        <w:t>Obrat automobilky mimo </w:t>
      </w:r>
      <w:r>
        <w:rPr>
          <w:b/>
        </w:rPr>
        <w:t>AVTOVAZ </w:t>
      </w:r>
      <w:r>
        <w:rPr/>
        <w:t>dosáhl 8 566 milionů eur, což představuje snížení o 0,3</w:t>
      </w:r>
    </w:p>
    <w:p>
      <w:pPr>
        <w:pStyle w:val="BodyText"/>
        <w:spacing w:line="249" w:lineRule="auto" w:before="12"/>
        <w:ind w:left="120" w:right="541"/>
      </w:pPr>
      <w:r>
        <w:rPr/>
        <w:t>%. Kromě změny stavu zásob, který vysvětluje hlavní část negativního vlivu týkajícího se objemu (-6,5 bodů), byl obrat poškozen negativním směnným kurzem v řádu 4,3 bodů.</w:t>
      </w:r>
    </w:p>
    <w:p>
      <w:pPr>
        <w:pStyle w:val="BodyText"/>
        <w:spacing w:line="249" w:lineRule="auto" w:before="1"/>
        <w:ind w:left="120" w:right="541"/>
      </w:pPr>
      <w:r>
        <w:rPr/>
        <w:t>Cenový efekt je velmi pozitivní (+6,3 bodů), což ilustruje novou obchodní politiku realizovanou v rámci strategického plánu Renaulution.</w:t>
      </w:r>
    </w:p>
    <w:p>
      <w:pPr>
        <w:pStyle w:val="BodyText"/>
        <w:spacing w:line="249" w:lineRule="auto" w:before="2"/>
        <w:ind w:left="120" w:right="541"/>
      </w:pPr>
      <w:r>
        <w:rPr/>
        <w:t>Prodeje</w:t>
      </w:r>
      <w:r>
        <w:rPr>
          <w:spacing w:val="-17"/>
        </w:rPr>
        <w:t> </w:t>
      </w:r>
      <w:r>
        <w:rPr/>
        <w:t>Zoe,</w:t>
      </w:r>
      <w:r>
        <w:rPr>
          <w:spacing w:val="-21"/>
        </w:rPr>
        <w:t> </w:t>
      </w:r>
      <w:r>
        <w:rPr/>
        <w:t>Twinga</w:t>
      </w:r>
      <w:r>
        <w:rPr>
          <w:spacing w:val="-17"/>
        </w:rPr>
        <w:t> </w:t>
      </w:r>
      <w:r>
        <w:rPr/>
        <w:t>Electric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nárůst</w:t>
      </w:r>
      <w:r>
        <w:rPr>
          <w:spacing w:val="-20"/>
        </w:rPr>
        <w:t> </w:t>
      </w:r>
      <w:r>
        <w:rPr/>
        <w:t>poptávky</w:t>
      </w:r>
      <w:r>
        <w:rPr>
          <w:spacing w:val="-18"/>
        </w:rPr>
        <w:t> </w:t>
      </w:r>
      <w:r>
        <w:rPr/>
        <w:t>po</w:t>
      </w:r>
      <w:r>
        <w:rPr>
          <w:spacing w:val="-17"/>
        </w:rPr>
        <w:t> </w:t>
      </w:r>
      <w:r>
        <w:rPr/>
        <w:t>užitkových</w:t>
      </w:r>
      <w:r>
        <w:rPr>
          <w:spacing w:val="-18"/>
        </w:rPr>
        <w:t> </w:t>
      </w:r>
      <w:r>
        <w:rPr/>
        <w:t>vozidlech</w:t>
      </w:r>
      <w:r>
        <w:rPr>
          <w:spacing w:val="-17"/>
        </w:rPr>
        <w:t> </w:t>
      </w:r>
      <w:r>
        <w:rPr/>
        <w:t>přispívají</w:t>
      </w:r>
      <w:r>
        <w:rPr>
          <w:spacing w:val="-15"/>
        </w:rPr>
        <w:t> </w:t>
      </w:r>
      <w:r>
        <w:rPr/>
        <w:t>k</w:t>
      </w:r>
      <w:r>
        <w:rPr>
          <w:spacing w:val="-2"/>
        </w:rPr>
        <w:t> </w:t>
      </w:r>
      <w:r>
        <w:rPr/>
        <w:t>pozitivnímu vlivu mixu produktů v řádu 2,4</w:t>
      </w:r>
      <w:r>
        <w:rPr>
          <w:spacing w:val="-1"/>
        </w:rPr>
        <w:t> </w:t>
      </w:r>
      <w:r>
        <w:rPr/>
        <w:t>bodů.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0" w:right="541"/>
      </w:pPr>
      <w:r>
        <w:rPr/>
        <w:t>Podíl </w:t>
      </w:r>
      <w:r>
        <w:rPr>
          <w:b/>
        </w:rPr>
        <w:t>AVTOVAZU </w:t>
      </w:r>
      <w:r>
        <w:rPr/>
        <w:t>na obratu skupiny dosáhl v tomto čtvrtletí 685 milionů eur, což představuje pokles o 2,3 %. Při stálém směnném kurzu a parametrech</w:t>
      </w:r>
      <w:r>
        <w:rPr>
          <w:vertAlign w:val="superscript"/>
        </w:rPr>
        <w:t>1</w:t>
      </w:r>
      <w:r>
        <w:rPr>
          <w:vertAlign w:val="baseline"/>
        </w:rPr>
        <w:t> by se jednalo o nárůst o 20,9 %.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20" w:right="541"/>
      </w:pPr>
      <w:r>
        <w:rPr>
          <w:b/>
        </w:rPr>
        <w:t>Služby mobility </w:t>
      </w:r>
      <w:r>
        <w:rPr/>
        <w:t>přispěly k obratu ve výši 5 milionů eur oproti 6 milionům v 1. čtvrtletí roku 2020.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 w:before="1"/>
        <w:ind w:left="120" w:right="582"/>
        <w:jc w:val="both"/>
      </w:pPr>
      <w:r>
        <w:rPr>
          <w:b/>
        </w:rPr>
        <w:t>Financování</w:t>
      </w:r>
      <w:r>
        <w:rPr>
          <w:b/>
          <w:spacing w:val="-9"/>
        </w:rPr>
        <w:t> </w:t>
      </w:r>
      <w:r>
        <w:rPr>
          <w:b/>
        </w:rPr>
        <w:t>prodejů</w:t>
      </w:r>
      <w:r>
        <w:rPr>
          <w:b/>
          <w:spacing w:val="-3"/>
        </w:rPr>
        <w:t> </w:t>
      </w:r>
      <w:r>
        <w:rPr>
          <w:b/>
        </w:rPr>
        <w:t>(RCI</w:t>
      </w:r>
      <w:r>
        <w:rPr>
          <w:b/>
          <w:spacing w:val="-7"/>
        </w:rPr>
        <w:t> </w:t>
      </w:r>
      <w:r>
        <w:rPr>
          <w:b/>
        </w:rPr>
        <w:t>Bank</w:t>
      </w:r>
      <w:r>
        <w:rPr>
          <w:b/>
          <w:spacing w:val="-6"/>
        </w:rPr>
        <w:t> </w:t>
      </w:r>
      <w:r>
        <w:rPr>
          <w:b/>
        </w:rPr>
        <w:t>&amp;</w:t>
      </w:r>
      <w:r>
        <w:rPr>
          <w:b/>
          <w:spacing w:val="-6"/>
        </w:rPr>
        <w:t> </w:t>
      </w:r>
      <w:r>
        <w:rPr>
          <w:b/>
        </w:rPr>
        <w:t>Services)</w:t>
      </w:r>
      <w:r>
        <w:rPr>
          <w:b/>
          <w:spacing w:val="-9"/>
        </w:rPr>
        <w:t> </w:t>
      </w:r>
      <w:r>
        <w:rPr/>
        <w:t>realizuje</w:t>
      </w:r>
      <w:r>
        <w:rPr>
          <w:spacing w:val="-5"/>
        </w:rPr>
        <w:t> </w:t>
      </w:r>
      <w:r>
        <w:rPr/>
        <w:t>v tomto</w:t>
      </w:r>
      <w:r>
        <w:rPr>
          <w:spacing w:val="-6"/>
        </w:rPr>
        <w:t> </w:t>
      </w:r>
      <w:r>
        <w:rPr/>
        <w:t>čtvrtletí</w:t>
      </w:r>
      <w:r>
        <w:rPr>
          <w:spacing w:val="-8"/>
        </w:rPr>
        <w:t> </w:t>
      </w:r>
      <w:r>
        <w:rPr/>
        <w:t>obrat</w:t>
      </w:r>
      <w:r>
        <w:rPr>
          <w:spacing w:val="-7"/>
        </w:rPr>
        <w:t> </w:t>
      </w:r>
      <w:r>
        <w:rPr/>
        <w:t>759</w:t>
      </w:r>
      <w:r>
        <w:rPr>
          <w:spacing w:val="-1"/>
        </w:rPr>
        <w:t> </w:t>
      </w:r>
      <w:r>
        <w:rPr/>
        <w:t>milionů</w:t>
      </w:r>
      <w:r>
        <w:rPr>
          <w:spacing w:val="-6"/>
        </w:rPr>
        <w:t> </w:t>
      </w:r>
      <w:r>
        <w:rPr/>
        <w:t>eur, což je pokles o 8,2 % oproti roku 2020 z důvodu snížení aktivity sítě a negativního vlivu směnného</w:t>
      </w:r>
      <w:r>
        <w:rPr>
          <w:spacing w:val="-6"/>
        </w:rPr>
        <w:t> </w:t>
      </w:r>
      <w:r>
        <w:rPr/>
        <w:t>kurzu</w:t>
      </w:r>
      <w:r>
        <w:rPr>
          <w:spacing w:val="-5"/>
        </w:rPr>
        <w:t> </w:t>
      </w:r>
      <w:r>
        <w:rPr/>
        <w:t>v</w:t>
      </w:r>
      <w:r>
        <w:rPr>
          <w:spacing w:val="2"/>
        </w:rPr>
        <w:t> </w:t>
      </w:r>
      <w:r>
        <w:rPr/>
        <w:t>řádu</w:t>
      </w:r>
      <w:r>
        <w:rPr>
          <w:spacing w:val="-5"/>
        </w:rPr>
        <w:t> </w:t>
      </w:r>
      <w:r>
        <w:rPr/>
        <w:t>24</w:t>
      </w:r>
      <w:r>
        <w:rPr>
          <w:spacing w:val="-5"/>
        </w:rPr>
        <w:t> </w:t>
      </w:r>
      <w:r>
        <w:rPr/>
        <w:t>milionů</w:t>
      </w:r>
      <w:r>
        <w:rPr>
          <w:spacing w:val="-5"/>
        </w:rPr>
        <w:t> </w:t>
      </w:r>
      <w:r>
        <w:rPr/>
        <w:t>eur.</w:t>
      </w:r>
      <w:r>
        <w:rPr>
          <w:spacing w:val="-3"/>
        </w:rPr>
        <w:t> </w:t>
      </w:r>
      <w:r>
        <w:rPr/>
        <w:t>Počet</w:t>
      </w:r>
      <w:r>
        <w:rPr>
          <w:spacing w:val="-9"/>
        </w:rPr>
        <w:t> </w:t>
      </w:r>
      <w:r>
        <w:rPr/>
        <w:t>nových</w:t>
      </w:r>
      <w:r>
        <w:rPr>
          <w:spacing w:val="-5"/>
        </w:rPr>
        <w:t> </w:t>
      </w:r>
      <w:r>
        <w:rPr/>
        <w:t>smluv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financování</w:t>
      </w:r>
      <w:r>
        <w:rPr>
          <w:spacing w:val="-4"/>
        </w:rPr>
        <w:t> </w:t>
      </w:r>
      <w:r>
        <w:rPr/>
        <w:t>nákupů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snížil</w:t>
      </w:r>
      <w:r>
        <w:rPr>
          <w:spacing w:val="-8"/>
        </w:rPr>
        <w:t> </w:t>
      </w:r>
      <w:r>
        <w:rPr/>
        <w:t>o 10,9 %. Průměrná provozní aktiva dosáhla na konci března roku 2021 výše 45,9 miliard eur, což je pokles o 6,9 % oproti 1. čtvrtletí roku</w:t>
      </w:r>
      <w:r>
        <w:rPr>
          <w:spacing w:val="-8"/>
        </w:rPr>
        <w:t> </w:t>
      </w:r>
      <w:r>
        <w:rPr/>
        <w:t>2020.</w:t>
      </w:r>
    </w:p>
    <w:p>
      <w:pPr>
        <w:pStyle w:val="BodyText"/>
        <w:spacing w:before="197"/>
        <w:ind w:left="120"/>
      </w:pPr>
      <w:r>
        <w:rPr/>
        <w:t>K 31. březnu 2021 představovaly celkové </w:t>
      </w:r>
      <w:r>
        <w:rPr>
          <w:b/>
        </w:rPr>
        <w:t>zásoby </w:t>
      </w:r>
      <w:r>
        <w:rPr/>
        <w:t>(včetně nezávislé sítě) 487 000 vozidel</w:t>
      </w:r>
    </w:p>
    <w:p>
      <w:pPr>
        <w:pStyle w:val="BodyText"/>
        <w:spacing w:before="11"/>
        <w:ind w:left="120"/>
      </w:pPr>
      <w:r>
        <w:rPr/>
        <w:t>oproti 661 000 na konci března 2020, což je pokles o 26 %.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Heading1"/>
        <w:jc w:val="both"/>
      </w:pPr>
      <w:r>
        <w:rPr/>
        <w:t>KONSOLIDOVANÝ OBRAT SKUPINY RENAULT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9"/>
        <w:gridCol w:w="1154"/>
        <w:gridCol w:w="1260"/>
        <w:gridCol w:w="1257"/>
      </w:tblGrid>
      <w:tr>
        <w:trPr>
          <w:trHeight w:val="527" w:hRule="atLeast"/>
        </w:trPr>
        <w:tc>
          <w:tcPr>
            <w:tcW w:w="31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sz w:val="20"/>
              </w:rPr>
              <w:t>(v milionech eur)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right="303"/>
              <w:jc w:val="right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w w:val="95"/>
                <w:sz w:val="20"/>
              </w:rPr>
              <w:t>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17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2021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63" w:right="70"/>
              <w:jc w:val="center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Rozdíl</w:t>
            </w:r>
          </w:p>
          <w:p>
            <w:pPr>
              <w:pStyle w:val="TableParagraph"/>
              <w:spacing w:before="34"/>
              <w:ind w:left="186" w:right="70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2021/2020</w:t>
            </w:r>
          </w:p>
        </w:tc>
      </w:tr>
      <w:tr>
        <w:trPr>
          <w:trHeight w:val="261" w:hRule="atLeast"/>
        </w:trPr>
        <w:tc>
          <w:tcPr>
            <w:tcW w:w="312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1. čtvrtletí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Automobilka mimo AVTOVAZ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8 591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8 566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-0,3 %</w:t>
            </w:r>
          </w:p>
        </w:tc>
      </w:tr>
      <w:tr>
        <w:trPr>
          <w:trHeight w:val="284" w:hRule="atLeast"/>
        </w:trPr>
        <w:tc>
          <w:tcPr>
            <w:tcW w:w="3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AVTOVAZ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3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-2,3 %</w:t>
            </w:r>
          </w:p>
        </w:tc>
      </w:tr>
      <w:tr>
        <w:trPr>
          <w:trHeight w:val="273" w:hRule="atLeast"/>
        </w:trPr>
        <w:tc>
          <w:tcPr>
            <w:tcW w:w="3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Služby mobility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-16,7%</w:t>
            </w:r>
          </w:p>
        </w:tc>
      </w:tr>
      <w:tr>
        <w:trPr>
          <w:trHeight w:val="276" w:hRule="atLeast"/>
        </w:trPr>
        <w:tc>
          <w:tcPr>
            <w:tcW w:w="312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Financování prodejů</w:t>
            </w: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3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759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-8,2 %</w:t>
            </w:r>
          </w:p>
        </w:tc>
      </w:tr>
      <w:tr>
        <w:trPr>
          <w:trHeight w:val="265" w:hRule="atLeast"/>
        </w:trPr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10 125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10 015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pict>
          <v:rect style="position:absolute;margin-left:85.025002pt;margin-top:15.729893pt;width:144.050pt;height:.799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40"/>
        <w:ind w:left="120" w:right="541" w:firstLine="0"/>
        <w:jc w:val="left"/>
        <w:rPr>
          <w:i/>
          <w:sz w:val="14"/>
        </w:rPr>
      </w:pPr>
      <w:r>
        <w:rPr>
          <w:rFonts w:ascii="Calibri" w:hAnsi="Calibri"/>
          <w:w w:val="95"/>
          <w:position w:val="7"/>
          <w:sz w:val="13"/>
        </w:rPr>
        <w:t>1</w:t>
      </w:r>
      <w:r>
        <w:rPr>
          <w:rFonts w:ascii="Calibri" w:hAnsi="Calibri"/>
          <w:spacing w:val="-7"/>
          <w:w w:val="95"/>
          <w:position w:val="7"/>
          <w:sz w:val="13"/>
        </w:rPr>
        <w:t> </w:t>
      </w:r>
      <w:r>
        <w:rPr>
          <w:i/>
          <w:w w:val="95"/>
          <w:sz w:val="14"/>
        </w:rPr>
        <w:t>Pro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účely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analýzy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změny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konsolidovaného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obratu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se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stálým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směnným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kurzem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parametry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přepočítává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skupina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Renault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obrat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za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stávající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účetní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období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za použití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průměrných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ročních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směnných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kurzů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za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předchozí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období,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čímž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vyloučí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podstatné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změny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parametrů,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k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nimž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došlo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v</w:t>
      </w:r>
      <w:r>
        <w:rPr>
          <w:i/>
          <w:spacing w:val="-16"/>
          <w:w w:val="95"/>
          <w:sz w:val="14"/>
        </w:rPr>
        <w:t> </w:t>
      </w:r>
      <w:r>
        <w:rPr>
          <w:i/>
          <w:w w:val="95"/>
          <w:sz w:val="14"/>
        </w:rPr>
        <w:t>průběhu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účetního</w:t>
      </w:r>
      <w:r>
        <w:rPr>
          <w:i/>
          <w:spacing w:val="-17"/>
          <w:w w:val="95"/>
          <w:sz w:val="14"/>
        </w:rPr>
        <w:t> </w:t>
      </w:r>
      <w:r>
        <w:rPr>
          <w:i/>
          <w:w w:val="95"/>
          <w:sz w:val="14"/>
        </w:rPr>
        <w:t>období.</w:t>
      </w:r>
    </w:p>
    <w:p>
      <w:pPr>
        <w:spacing w:after="0" w:line="268" w:lineRule="auto"/>
        <w:jc w:val="left"/>
        <w:rPr>
          <w:sz w:val="14"/>
        </w:rPr>
        <w:sectPr>
          <w:pgSz w:w="11920" w:h="16840"/>
          <w:pgMar w:header="566" w:footer="0" w:top="1200" w:bottom="280" w:left="1580" w:right="5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10"/>
      </w:pPr>
      <w:r>
        <w:rPr/>
        <w:t>CELKOVÉ PRODEJE SKUPINY OV+UV PO ZNAČKÁCH</w:t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3225"/>
        <w:gridCol w:w="1616"/>
        <w:gridCol w:w="1560"/>
        <w:gridCol w:w="1220"/>
      </w:tblGrid>
      <w:tr>
        <w:trPr>
          <w:trHeight w:val="290" w:hRule="atLeast"/>
        </w:trPr>
        <w:tc>
          <w:tcPr>
            <w:tcW w:w="4538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3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Celkem na konci března</w:t>
            </w:r>
          </w:p>
        </w:tc>
      </w:tr>
      <w:tr>
        <w:trPr>
          <w:trHeight w:val="281" w:hRule="atLeast"/>
        </w:trPr>
        <w:tc>
          <w:tcPr>
            <w:tcW w:w="45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 rozdíl</w:t>
            </w:r>
          </w:p>
        </w:tc>
      </w:tr>
      <w:tr>
        <w:trPr>
          <w:trHeight w:val="493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7641" cy="29403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1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RENAULT</w:t>
            </w:r>
          </w:p>
        </w:tc>
        <w:tc>
          <w:tcPr>
            <w:tcW w:w="16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249" w:right="1241"/>
              <w:jc w:val="center"/>
              <w:rPr>
                <w:sz w:val="20"/>
              </w:rPr>
            </w:pPr>
            <w:r>
              <w:rPr>
                <w:sz w:val="20"/>
              </w:rPr>
              <w:t>OV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353 821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337 391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-4,6</w:t>
            </w:r>
          </w:p>
        </w:tc>
      </w:tr>
      <w:tr>
        <w:trPr>
          <w:trHeight w:val="280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249" w:right="1237"/>
              <w:jc w:val="center"/>
              <w:rPr>
                <w:sz w:val="20"/>
              </w:rPr>
            </w:pPr>
            <w:r>
              <w:rPr>
                <w:sz w:val="20"/>
              </w:rPr>
              <w:t>UV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74 341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96 271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+29,5</w:t>
            </w:r>
          </w:p>
        </w:tc>
      </w:tr>
      <w:tr>
        <w:trPr>
          <w:trHeight w:val="283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OV+UV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428 162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433 662</w:t>
            </w:r>
          </w:p>
        </w:tc>
        <w:tc>
          <w:tcPr>
            <w:tcW w:w="122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+1,3</w:t>
            </w:r>
          </w:p>
        </w:tc>
      </w:tr>
      <w:tr>
        <w:trPr>
          <w:trHeight w:val="490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409" cy="23526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9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RENAULT SAMSUNG MOTORS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19 535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12 227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-37,4</w:t>
            </w:r>
          </w:p>
        </w:tc>
      </w:tr>
      <w:tr>
        <w:trPr>
          <w:trHeight w:val="349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5961" cy="304800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6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DACIA</w:t>
            </w:r>
          </w:p>
        </w:tc>
        <w:tc>
          <w:tcPr>
            <w:tcW w:w="16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249" w:right="1241"/>
              <w:jc w:val="center"/>
              <w:rPr>
                <w:sz w:val="20"/>
              </w:rPr>
            </w:pPr>
            <w:r>
              <w:rPr>
                <w:sz w:val="20"/>
              </w:rPr>
              <w:t>OV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101 793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110 220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+8,3</w:t>
            </w:r>
          </w:p>
        </w:tc>
      </w:tr>
      <w:tr>
        <w:trPr>
          <w:trHeight w:val="279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249" w:right="1237"/>
              <w:jc w:val="center"/>
              <w:rPr>
                <w:sz w:val="20"/>
              </w:rPr>
            </w:pPr>
            <w:r>
              <w:rPr>
                <w:sz w:val="20"/>
              </w:rPr>
              <w:t>UV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8 248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11 011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+33,5</w:t>
            </w:r>
          </w:p>
        </w:tc>
      </w:tr>
      <w:tr>
        <w:trPr>
          <w:trHeight w:val="281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OV+UV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110 041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121 231</w:t>
            </w:r>
          </w:p>
        </w:tc>
        <w:tc>
          <w:tcPr>
            <w:tcW w:w="1220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+10,2</w:t>
            </w:r>
          </w:p>
        </w:tc>
      </w:tr>
      <w:tr>
        <w:trPr>
          <w:trHeight w:val="492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7498" cy="21002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98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0183" cy="220027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83" cy="22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7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LADA</w:t>
            </w:r>
          </w:p>
        </w:tc>
        <w:tc>
          <w:tcPr>
            <w:tcW w:w="16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249" w:right="1241"/>
              <w:jc w:val="center"/>
              <w:rPr>
                <w:sz w:val="20"/>
              </w:rPr>
            </w:pPr>
            <w:r>
              <w:rPr>
                <w:sz w:val="20"/>
              </w:rPr>
              <w:t>OV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87 908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88 068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>
        <w:trPr>
          <w:trHeight w:val="282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249" w:right="1237"/>
              <w:jc w:val="center"/>
              <w:rPr>
                <w:sz w:val="20"/>
              </w:rPr>
            </w:pPr>
            <w:r>
              <w:rPr>
                <w:sz w:val="20"/>
              </w:rPr>
              <w:t>UV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2 634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2 404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-8,7</w:t>
            </w:r>
          </w:p>
        </w:tc>
      </w:tr>
      <w:tr>
        <w:trPr>
          <w:trHeight w:val="350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OV+UV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90 542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90 472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</w:tr>
      <w:tr>
        <w:trPr>
          <w:trHeight w:val="420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AVTOVAZ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4 280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115</w:t>
            </w:r>
          </w:p>
        </w:tc>
        <w:tc>
          <w:tcPr>
            <w:tcW w:w="122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-97,3</w:t>
            </w:r>
          </w:p>
        </w:tc>
      </w:tr>
      <w:tr>
        <w:trPr>
          <w:trHeight w:val="492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9"/>
              <w:rPr>
                <w:b/>
                <w:sz w:val="3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8073" cy="29403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73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7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ALPINE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423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+15,3</w:t>
            </w:r>
          </w:p>
        </w:tc>
      </w:tr>
      <w:tr>
        <w:trPr>
          <w:trHeight w:val="347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9270" cy="270033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0" cy="2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JINBEI&amp;HUASONG</w:t>
            </w:r>
          </w:p>
        </w:tc>
        <w:tc>
          <w:tcPr>
            <w:tcW w:w="16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249" w:right="1240"/>
              <w:jc w:val="center"/>
              <w:rPr>
                <w:sz w:val="20"/>
              </w:rPr>
            </w:pPr>
            <w:r>
              <w:rPr>
                <w:sz w:val="20"/>
              </w:rPr>
              <w:t>OV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-97,4</w:t>
            </w:r>
          </w:p>
        </w:tc>
      </w:tr>
      <w:tr>
        <w:trPr>
          <w:trHeight w:val="281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249" w:right="1237"/>
              <w:jc w:val="center"/>
              <w:rPr>
                <w:sz w:val="20"/>
              </w:rPr>
            </w:pPr>
            <w:r>
              <w:rPr>
                <w:sz w:val="20"/>
              </w:rPr>
              <w:t>UV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3 890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6 407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+64,7</w:t>
            </w:r>
          </w:p>
        </w:tc>
      </w:tr>
      <w:tr>
        <w:trPr>
          <w:trHeight w:val="281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OV+UV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4 742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6 429</w:t>
            </w:r>
          </w:p>
        </w:tc>
        <w:tc>
          <w:tcPr>
            <w:tcW w:w="1220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+35,6</w:t>
            </w:r>
          </w:p>
        </w:tc>
      </w:tr>
      <w:tr>
        <w:trPr>
          <w:trHeight w:val="490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0567" cy="240030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7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EVEASY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479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+++</w:t>
            </w:r>
          </w:p>
        </w:tc>
      </w:tr>
      <w:tr>
        <w:trPr>
          <w:trHeight w:val="349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59534" cy="243839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34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25" w:type="dxa"/>
            <w:tcBorders>
              <w:bottom w:val="nil"/>
            </w:tcBorders>
          </w:tcPr>
          <w:p>
            <w:pPr>
              <w:pStyle w:val="TableParagraph"/>
              <w:spacing w:before="16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SKUPINA RENAULT</w:t>
            </w:r>
          </w:p>
        </w:tc>
        <w:tc>
          <w:tcPr>
            <w:tcW w:w="16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249" w:right="1241"/>
              <w:jc w:val="center"/>
              <w:rPr>
                <w:sz w:val="20"/>
              </w:rPr>
            </w:pPr>
            <w:r>
              <w:rPr>
                <w:sz w:val="20"/>
              </w:rPr>
              <w:t>OV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568 556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548 945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-3,4</w:t>
            </w:r>
          </w:p>
        </w:tc>
      </w:tr>
      <w:tr>
        <w:trPr>
          <w:trHeight w:val="280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249" w:right="1237"/>
              <w:jc w:val="center"/>
              <w:rPr>
                <w:sz w:val="20"/>
              </w:rPr>
            </w:pPr>
            <w:r>
              <w:rPr>
                <w:sz w:val="20"/>
              </w:rPr>
              <w:t>UV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89 113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116 093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+30,3</w:t>
            </w:r>
          </w:p>
        </w:tc>
      </w:tr>
      <w:tr>
        <w:trPr>
          <w:trHeight w:val="283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249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OV+UV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657 669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665 038</w:t>
            </w:r>
          </w:p>
        </w:tc>
        <w:tc>
          <w:tcPr>
            <w:tcW w:w="122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+1,1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20" w:h="16840"/>
          <w:pgMar w:header="566" w:footer="0" w:top="1200" w:bottom="280" w:left="1580" w:right="520"/>
        </w:sectPr>
      </w:pPr>
    </w:p>
    <w:p>
      <w:pPr>
        <w:spacing w:before="86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15 NEJDŮLEŽITĚJŠÍCH TRHŮ SKUPINY RENAULT NA KONCI BŘEZNA 2021</w:t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3489"/>
        <w:gridCol w:w="1361"/>
        <w:gridCol w:w="1533"/>
      </w:tblGrid>
      <w:tr>
        <w:trPr>
          <w:trHeight w:val="690" w:hRule="atLeast"/>
        </w:trPr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7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Celkem na konci března 2021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tLeast"/>
              <w:ind w:left="298" w:right="4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Objemy</w:t>
            </w:r>
            <w:r>
              <w:rPr>
                <w:b/>
                <w:sz w:val="20"/>
                <w:vertAlign w:val="superscript"/>
              </w:rPr>
              <w:t>(1)</w:t>
            </w:r>
            <w:r>
              <w:rPr>
                <w:b/>
                <w:sz w:val="20"/>
                <w:vertAlign w:val="baseline"/>
              </w:rPr>
              <w:t> (v kusech)</w:t>
            </w:r>
          </w:p>
        </w:tc>
        <w:tc>
          <w:tcPr>
            <w:tcW w:w="1533" w:type="dxa"/>
          </w:tcPr>
          <w:p>
            <w:pPr>
              <w:pStyle w:val="TableParagraph"/>
              <w:spacing w:line="237" w:lineRule="auto" w:before="5"/>
              <w:ind w:left="774" w:right="4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Podíl </w:t>
            </w:r>
            <w:r>
              <w:rPr>
                <w:b/>
                <w:spacing w:val="-1"/>
                <w:sz w:val="20"/>
              </w:rPr>
              <w:t>OV+UV</w:t>
            </w:r>
          </w:p>
          <w:p>
            <w:pPr>
              <w:pStyle w:val="TableParagraph"/>
              <w:spacing w:line="207" w:lineRule="exact" w:before="3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(v %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</w:p>
        </w:tc>
      </w:tr>
      <w:tr>
        <w:trPr>
          <w:trHeight w:val="296" w:hRule="atLeast"/>
        </w:trPr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9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FRANCIE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135 957</w:t>
            </w:r>
          </w:p>
        </w:tc>
        <w:tc>
          <w:tcPr>
            <w:tcW w:w="1533" w:type="dxa"/>
            <w:tcBorders>
              <w:bottom w:val="nil"/>
            </w:tcBorders>
          </w:tcPr>
          <w:p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24,21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RUSKO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114 272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29,68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ITÁLIE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41 969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NEMECKO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40 230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</w:tr>
      <w:tr>
        <w:trPr>
          <w:trHeight w:val="311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BRAZÍLIE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33 186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6,69</w:t>
            </w:r>
          </w:p>
        </w:tc>
      </w:tr>
      <w:tr>
        <w:trPr>
          <w:trHeight w:val="311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INDIE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31 608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28 857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14,53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3"/>
              <w:ind w:left="70"/>
              <w:rPr>
                <w:sz w:val="20"/>
              </w:rPr>
            </w:pPr>
            <w:r>
              <w:rPr>
                <w:sz w:val="20"/>
              </w:rPr>
              <w:t>ŠPANĚLSKO + KANÁRSKÉ OSTROVY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26 674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11,77</w:t>
            </w:r>
          </w:p>
        </w:tc>
      </w:tr>
      <w:tr>
        <w:trPr>
          <w:trHeight w:val="29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MAROKO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17 657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39,98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SPOJENÉ KRÁLOVSTVÍ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16 638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BELGIE LUCEMBURSKO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14 616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9,32</w:t>
            </w:r>
          </w:p>
        </w:tc>
      </w:tr>
      <w:tr>
        <w:trPr>
          <w:trHeight w:val="312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JIŽNÍ KOREA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13 129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3,11</w:t>
            </w:r>
          </w:p>
        </w:tc>
      </w:tr>
      <w:tr>
        <w:trPr>
          <w:trHeight w:val="311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KOLUMBIE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11 774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22,31</w:t>
            </w:r>
          </w:p>
        </w:tc>
      </w:tr>
      <w:tr>
        <w:trPr>
          <w:trHeight w:val="311" w:hRule="atLeast"/>
        </w:trPr>
        <w:tc>
          <w:tcPr>
            <w:tcW w:w="8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POLSKO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11 256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</w:tr>
      <w:tr>
        <w:trPr>
          <w:trHeight w:val="328" w:hRule="atLeast"/>
        </w:trPr>
        <w:tc>
          <w:tcPr>
            <w:tcW w:w="853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89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ARGENTINA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11 240</w:t>
            </w:r>
          </w:p>
        </w:tc>
        <w:tc>
          <w:tcPr>
            <w:tcW w:w="1533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10,14</w:t>
            </w:r>
          </w:p>
        </w:tc>
      </w:tr>
    </w:tbl>
    <w:p>
      <w:pPr>
        <w:spacing w:before="185"/>
        <w:ind w:left="120" w:right="0" w:firstLine="0"/>
        <w:jc w:val="left"/>
        <w:rPr>
          <w:sz w:val="16"/>
        </w:rPr>
      </w:pPr>
      <w:r>
        <w:rPr>
          <w:sz w:val="16"/>
          <w:vertAlign w:val="superscript"/>
        </w:rPr>
        <w:t>(1)</w:t>
      </w:r>
      <w:r>
        <w:rPr>
          <w:sz w:val="16"/>
          <w:vertAlign w:val="baseline"/>
        </w:rPr>
        <w:t> Údaje o prodejích mimo Twizy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O skupině Renault</w:t>
      </w:r>
    </w:p>
    <w:p>
      <w:pPr>
        <w:spacing w:before="1"/>
        <w:ind w:left="120" w:right="0" w:firstLine="0"/>
        <w:jc w:val="left"/>
        <w:rPr>
          <w:sz w:val="18"/>
        </w:rPr>
      </w:pPr>
      <w:r>
        <w:rPr>
          <w:sz w:val="18"/>
        </w:rPr>
        <w:t>Skupina Renault je v popředí mobility, která se přetváří.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</w:rPr>
        <w:t>Skupina Renault, čerpající sílu ze své aliance s Nissanem a Mitsubishi Motors a ze své jedinečné zkušenosti</w:t>
      </w:r>
    </w:p>
    <w:p>
      <w:pPr>
        <w:spacing w:line="276" w:lineRule="auto" w:before="29"/>
        <w:ind w:left="120" w:right="0" w:firstLine="0"/>
        <w:jc w:val="left"/>
        <w:rPr>
          <w:sz w:val="18"/>
        </w:rPr>
      </w:pPr>
      <w:r>
        <w:rPr>
          <w:sz w:val="18"/>
        </w:rPr>
        <w:t>s elektrifikací, vychází z komplementarity svých 5 značek - Renault – Dacia – LADA – Alpine a Mobilize – a nabízí svým zákazníkům řešení v oblasti trvale udržitelných a inovativních mobilit. Je přítomna ve více než 130 zemích, má dnes více než 180 000 zaměstnanců a v roce 2020 prodala 2,95 milionu vozidel.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120" w:right="445" w:firstLine="0"/>
        <w:jc w:val="left"/>
        <w:rPr>
          <w:sz w:val="18"/>
        </w:rPr>
      </w:pPr>
      <w:r>
        <w:rPr>
          <w:sz w:val="18"/>
        </w:rPr>
        <w:t>Skupina, která je připravena reagovat na výzvy na silnici i v oblasti konkurenceschopnosti, se zapojila do ambiciózní transformace vytvářející hodnoty. Tato transformace se soustřeďuje na vývoj nových technologií a služeb, nového sortimentu ještě více konkurenceschopných, vyrovnaných a elektrifikovaných vozidel. Ambicí skupiny Renault je dosáhnout v souladu s environmentálními výzvami uhlíkové neutrality v Evropě v roce 2050.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Jitka Skalličková</w:t>
      </w:r>
    </w:p>
    <w:p>
      <w:pPr>
        <w:spacing w:before="15"/>
        <w:ind w:left="156" w:right="0" w:firstLine="0"/>
        <w:jc w:val="left"/>
        <w:rPr>
          <w:sz w:val="20"/>
        </w:rPr>
      </w:pPr>
      <w:hyperlink r:id="rId15">
        <w:r>
          <w:rPr>
            <w:color w:val="0000FF"/>
            <w:sz w:val="20"/>
            <w:u w:val="single" w:color="0000FF"/>
          </w:rPr>
          <w:t>jitka.skalickova@renault.cz</w:t>
        </w:r>
      </w:hyperlink>
    </w:p>
    <w:p>
      <w:pPr>
        <w:spacing w:before="14"/>
        <w:ind w:left="156" w:right="0" w:firstLine="0"/>
        <w:jc w:val="left"/>
        <w:rPr>
          <w:sz w:val="20"/>
        </w:rPr>
      </w:pPr>
      <w:r>
        <w:rPr>
          <w:sz w:val="20"/>
        </w:rPr>
        <w:t>+420 602 275 168</w:t>
      </w:r>
    </w:p>
    <w:sectPr>
      <w:pgSz w:w="11920" w:h="16840"/>
      <w:pgMar w:header="566" w:footer="0" w:top="1200" w:bottom="280" w:left="1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5744">
          <wp:simplePos x="0" y="0"/>
          <wp:positionH relativeFrom="page">
            <wp:posOffset>359409</wp:posOffset>
          </wp:positionH>
          <wp:positionV relativeFrom="page">
            <wp:posOffset>359409</wp:posOffset>
          </wp:positionV>
          <wp:extent cx="1634489" cy="1714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04" w:hanging="284"/>
      </w:pPr>
      <w:rPr>
        <w:rFonts w:hint="default" w:ascii="Arial" w:hAnsi="Arial" w:eastAsia="Arial" w:cs="Arial"/>
        <w:w w:val="131"/>
        <w:sz w:val="26"/>
        <w:szCs w:val="2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42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84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6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8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5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9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36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 w:right="596"/>
    </w:pPr>
    <w:rPr>
      <w:rFonts w:ascii="Arial" w:hAnsi="Arial" w:eastAsia="Arial" w:cs="Arial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04" w:right="590" w:hanging="284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hyperlink" Target="mailto:jitka.skalickova@renault.cz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YAMANE Rie</dc:creator>
  <dc:title>Document type Communiqué de Presse Groupe</dc:title>
  <dcterms:created xsi:type="dcterms:W3CDTF">2021-04-22T14:46:18Z</dcterms:created>
  <dcterms:modified xsi:type="dcterms:W3CDTF">2021-04-22T14:46:18Z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2021-04-22T00:00:00Z</vt:filetime>
  </property>
</Properties>
</file>