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720227" cy="292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2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92"/>
        <w:ind w:left="772" w:right="7670" w:firstLine="0"/>
        <w:jc w:val="left"/>
        <w:rPr>
          <w:sz w:val="24"/>
        </w:rPr>
      </w:pPr>
      <w:r>
        <w:rPr>
          <w:sz w:val="24"/>
        </w:rPr>
        <w:t>TISKOVÁ ZPRÁVA 14/01/2021</w:t>
      </w:r>
    </w:p>
    <w:p>
      <w:pPr>
        <w:pStyle w:val="BodyText"/>
        <w:spacing w:before="3"/>
        <w:rPr>
          <w:sz w:val="24"/>
        </w:rPr>
      </w:pPr>
    </w:p>
    <w:p>
      <w:pPr>
        <w:pStyle w:val="Title"/>
        <w:spacing w:line="278" w:lineRule="auto"/>
      </w:pPr>
      <w:r>
        <w:rPr/>
        <w:t>SKUPINA RENAULT PŘEDSTAVUJE SVŮJ STRATEGICKÝ PLÁN</w:t>
      </w:r>
      <w:r>
        <w:rPr>
          <w:spacing w:val="75"/>
        </w:rPr>
        <w:t> </w:t>
      </w:r>
      <w:r>
        <w:rPr/>
        <w:t>„RENAULUTION“</w:t>
      </w:r>
    </w:p>
    <w:p>
      <w:pPr>
        <w:spacing w:line="259" w:lineRule="auto" w:before="256"/>
        <w:ind w:left="772" w:right="109" w:firstLine="0"/>
        <w:jc w:val="both"/>
        <w:rPr>
          <w:b/>
          <w:sz w:val="20"/>
        </w:rPr>
      </w:pPr>
      <w:r>
        <w:rPr>
          <w:sz w:val="20"/>
        </w:rPr>
        <w:t>Boulogne-Billancourt, dne 14. ledna 2020 </w:t>
      </w:r>
      <w:r>
        <w:rPr>
          <w:b/>
          <w:sz w:val="20"/>
        </w:rPr>
        <w:t>– </w:t>
      </w:r>
      <w:r>
        <w:rPr>
          <w:sz w:val="20"/>
        </w:rPr>
        <w:t>Po schválení představenstvem dnes Luca de Meo, generální ředitel skupiny Renault, představuje „Renaulution", nový strategický plán, jehož cílem je </w:t>
      </w:r>
      <w:r>
        <w:rPr>
          <w:b/>
          <w:sz w:val="20"/>
        </w:rPr>
        <w:t>změnit strategii Skupiny Renault a přesměrovat její dosavadní zaměření se na zvyšování objemů výroby na vytváření hodnot.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772"/>
        <w:jc w:val="both"/>
      </w:pPr>
      <w:r>
        <w:rPr/>
        <w:t>Tento strategický plán je rozdělen na </w:t>
      </w:r>
      <w:r>
        <w:rPr>
          <w:b/>
        </w:rPr>
        <w:t>3 fáze</w:t>
      </w:r>
      <w:r>
        <w:rPr/>
        <w:t>, které budou zahájeny paralelně:</w:t>
      </w:r>
    </w:p>
    <w:p>
      <w:pPr>
        <w:pStyle w:val="ListParagraph"/>
        <w:numPr>
          <w:ilvl w:val="0"/>
          <w:numId w:val="1"/>
        </w:numPr>
        <w:tabs>
          <w:tab w:pos="1853" w:val="left" w:leader="none"/>
        </w:tabs>
        <w:spacing w:line="259" w:lineRule="auto" w:before="30" w:after="0"/>
        <w:ind w:left="1852" w:right="116" w:hanging="360"/>
        <w:jc w:val="both"/>
        <w:rPr>
          <w:sz w:val="20"/>
        </w:rPr>
      </w:pPr>
      <w:r>
        <w:rPr>
          <w:sz w:val="20"/>
        </w:rPr>
        <w:t>Fáze „Oživení“, která bude trvat až do roku 2023, se zaměří na zvýšení marže a na vytvoření likvidit,</w:t>
      </w:r>
    </w:p>
    <w:p>
      <w:pPr>
        <w:pStyle w:val="ListParagraph"/>
        <w:numPr>
          <w:ilvl w:val="0"/>
          <w:numId w:val="1"/>
        </w:numPr>
        <w:tabs>
          <w:tab w:pos="1853" w:val="left" w:leader="none"/>
        </w:tabs>
        <w:spacing w:line="264" w:lineRule="auto" w:before="12" w:after="0"/>
        <w:ind w:left="1852" w:right="118" w:hanging="360"/>
        <w:jc w:val="both"/>
        <w:rPr>
          <w:sz w:val="20"/>
        </w:rPr>
      </w:pPr>
      <w:r>
        <w:rPr>
          <w:sz w:val="20"/>
        </w:rPr>
        <w:t>Fáze</w:t>
      </w:r>
      <w:r>
        <w:rPr>
          <w:spacing w:val="-13"/>
          <w:sz w:val="20"/>
        </w:rPr>
        <w:t> </w:t>
      </w:r>
      <w:r>
        <w:rPr>
          <w:sz w:val="20"/>
        </w:rPr>
        <w:t>„Obnovy“,</w:t>
      </w:r>
      <w:r>
        <w:rPr>
          <w:spacing w:val="-14"/>
          <w:sz w:val="20"/>
        </w:rPr>
        <w:t> </w:t>
      </w:r>
      <w:r>
        <w:rPr>
          <w:sz w:val="20"/>
        </w:rPr>
        <w:t>která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trvat</w:t>
      </w:r>
      <w:r>
        <w:rPr>
          <w:spacing w:val="-13"/>
          <w:sz w:val="20"/>
        </w:rPr>
        <w:t> </w:t>
      </w:r>
      <w:r>
        <w:rPr>
          <w:sz w:val="20"/>
        </w:rPr>
        <w:t>až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8"/>
          <w:sz w:val="20"/>
        </w:rPr>
        <w:t> </w:t>
      </w:r>
      <w:r>
        <w:rPr>
          <w:sz w:val="20"/>
        </w:rPr>
        <w:t>2025,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obsahovat</w:t>
      </w:r>
      <w:r>
        <w:rPr>
          <w:spacing w:val="-13"/>
          <w:sz w:val="20"/>
        </w:rPr>
        <w:t> </w:t>
      </w:r>
      <w:r>
        <w:rPr>
          <w:sz w:val="20"/>
        </w:rPr>
        <w:t>obnovu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obohacení</w:t>
      </w:r>
      <w:r>
        <w:rPr>
          <w:spacing w:val="-14"/>
          <w:sz w:val="20"/>
        </w:rPr>
        <w:t> </w:t>
      </w:r>
      <w:r>
        <w:rPr>
          <w:sz w:val="20"/>
        </w:rPr>
        <w:t>sortimentu produktů přispívajících k rentabilitě</w:t>
      </w:r>
      <w:r>
        <w:rPr>
          <w:spacing w:val="1"/>
          <w:sz w:val="20"/>
        </w:rPr>
        <w:t> </w:t>
      </w:r>
      <w:r>
        <w:rPr>
          <w:sz w:val="20"/>
        </w:rPr>
        <w:t>značek,</w:t>
      </w:r>
    </w:p>
    <w:p>
      <w:pPr>
        <w:pStyle w:val="ListParagraph"/>
        <w:numPr>
          <w:ilvl w:val="0"/>
          <w:numId w:val="1"/>
        </w:numPr>
        <w:tabs>
          <w:tab w:pos="1853" w:val="left" w:leader="none"/>
        </w:tabs>
        <w:spacing w:line="259" w:lineRule="auto" w:before="6" w:after="0"/>
        <w:ind w:left="1852" w:right="116" w:hanging="360"/>
        <w:jc w:val="both"/>
        <w:rPr>
          <w:sz w:val="20"/>
        </w:rPr>
      </w:pPr>
      <w:r>
        <w:rPr>
          <w:sz w:val="20"/>
        </w:rPr>
        <w:t>Fáze  „Revoluce“,  která  začne  v roce   2025,  převrátí  ekonomický  model  skupiny  směrem   k technologiím, energii a mobilitě a udělá ze skupiny Renault průkopníka v hodnotovém řetězci nových mobilit.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772" w:firstLine="0"/>
        <w:jc w:val="left"/>
      </w:pPr>
      <w:r>
        <w:rPr/>
        <w:t>Plán Renaulution umožní obnovit konkurenceschopnost skupiny Renault tím, že:</w:t>
      </w:r>
    </w:p>
    <w:p>
      <w:pPr>
        <w:pStyle w:val="ListParagraph"/>
        <w:numPr>
          <w:ilvl w:val="0"/>
          <w:numId w:val="1"/>
        </w:numPr>
        <w:tabs>
          <w:tab w:pos="1852" w:val="left" w:leader="none"/>
          <w:tab w:pos="1853" w:val="left" w:leader="none"/>
        </w:tabs>
        <w:spacing w:line="264" w:lineRule="auto" w:before="31" w:after="0"/>
        <w:ind w:left="1852" w:right="112" w:hanging="360"/>
        <w:jc w:val="left"/>
        <w:rPr>
          <w:sz w:val="20"/>
        </w:rPr>
      </w:pPr>
      <w:r>
        <w:rPr>
          <w:sz w:val="20"/>
        </w:rPr>
        <w:t>překračuje časový rámec plánu 2o22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, zlepší efektivnost inženýrství a výroby s cílem snížit fixní náklady a zlepšit variabilní náklady ve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světě,</w:t>
      </w:r>
    </w:p>
    <w:p>
      <w:pPr>
        <w:pStyle w:val="ListParagraph"/>
        <w:numPr>
          <w:ilvl w:val="0"/>
          <w:numId w:val="1"/>
        </w:numPr>
        <w:tabs>
          <w:tab w:pos="1852" w:val="left" w:leader="none"/>
          <w:tab w:pos="1853" w:val="left" w:leader="none"/>
        </w:tabs>
        <w:spacing w:line="240" w:lineRule="auto" w:before="6" w:after="0"/>
        <w:ind w:left="1852" w:right="0" w:hanging="361"/>
        <w:jc w:val="left"/>
        <w:rPr>
          <w:sz w:val="20"/>
        </w:rPr>
      </w:pPr>
      <w:r>
        <w:rPr>
          <w:sz w:val="20"/>
        </w:rPr>
        <w:t>využije současné průmyslové výhody skupiny a její prvenství v elektromobilech v</w:t>
      </w:r>
      <w:r>
        <w:rPr>
          <w:spacing w:val="-13"/>
          <w:sz w:val="20"/>
        </w:rPr>
        <w:t> </w:t>
      </w:r>
      <w:r>
        <w:rPr>
          <w:sz w:val="20"/>
        </w:rPr>
        <w:t>Evropě,</w:t>
      </w:r>
    </w:p>
    <w:p>
      <w:pPr>
        <w:pStyle w:val="ListParagraph"/>
        <w:numPr>
          <w:ilvl w:val="0"/>
          <w:numId w:val="1"/>
        </w:numPr>
        <w:tabs>
          <w:tab w:pos="1852" w:val="left" w:leader="none"/>
          <w:tab w:pos="1853" w:val="left" w:leader="none"/>
        </w:tabs>
        <w:spacing w:line="240" w:lineRule="auto" w:before="30" w:after="0"/>
        <w:ind w:left="1852" w:right="0" w:hanging="361"/>
        <w:jc w:val="left"/>
        <w:rPr>
          <w:sz w:val="20"/>
        </w:rPr>
      </w:pPr>
      <w:r>
        <w:rPr>
          <w:sz w:val="20"/>
        </w:rPr>
        <w:t>opírá se o Alianci s cílem zvýšit naši údernou sílu v oblasti produktů, aktivit a</w:t>
      </w:r>
      <w:r>
        <w:rPr>
          <w:spacing w:val="-8"/>
          <w:sz w:val="20"/>
        </w:rPr>
        <w:t> </w:t>
      </w:r>
      <w:r>
        <w:rPr>
          <w:sz w:val="20"/>
        </w:rPr>
        <w:t>technologií,</w:t>
      </w:r>
    </w:p>
    <w:p>
      <w:pPr>
        <w:pStyle w:val="ListParagraph"/>
        <w:numPr>
          <w:ilvl w:val="0"/>
          <w:numId w:val="1"/>
        </w:numPr>
        <w:tabs>
          <w:tab w:pos="1852" w:val="left" w:leader="none"/>
          <w:tab w:pos="1853" w:val="left" w:leader="none"/>
        </w:tabs>
        <w:spacing w:line="240" w:lineRule="auto" w:before="34" w:after="0"/>
        <w:ind w:left="1852" w:right="0" w:hanging="361"/>
        <w:jc w:val="left"/>
        <w:rPr>
          <w:sz w:val="20"/>
        </w:rPr>
      </w:pPr>
      <w:r>
        <w:rPr>
          <w:sz w:val="20"/>
        </w:rPr>
        <w:t>urychlí služby mobility, služby věnující se energii a služby věnující se</w:t>
      </w:r>
      <w:r>
        <w:rPr>
          <w:spacing w:val="-14"/>
          <w:sz w:val="20"/>
        </w:rPr>
        <w:t> </w:t>
      </w:r>
      <w:r>
        <w:rPr>
          <w:sz w:val="20"/>
        </w:rPr>
        <w:t>datům,</w:t>
      </w:r>
    </w:p>
    <w:p>
      <w:pPr>
        <w:pStyle w:val="ListParagraph"/>
        <w:numPr>
          <w:ilvl w:val="0"/>
          <w:numId w:val="1"/>
        </w:numPr>
        <w:tabs>
          <w:tab w:pos="1852" w:val="left" w:leader="none"/>
          <w:tab w:pos="1853" w:val="left" w:leader="none"/>
        </w:tabs>
        <w:spacing w:line="259" w:lineRule="auto" w:before="30" w:after="0"/>
        <w:ind w:left="1852" w:right="117" w:hanging="360"/>
        <w:jc w:val="left"/>
        <w:rPr>
          <w:sz w:val="20"/>
        </w:rPr>
      </w:pPr>
      <w:r>
        <w:rPr>
          <w:sz w:val="20"/>
        </w:rPr>
        <w:t>zlepší rentabilitu prostřednictvím 4 rozdílných podnikatelských jednotek založených na plně odpovědných značkách zaměřených na zákazníky a</w:t>
      </w:r>
      <w:r>
        <w:rPr>
          <w:spacing w:val="-5"/>
          <w:sz w:val="20"/>
        </w:rPr>
        <w:t> </w:t>
      </w:r>
      <w:r>
        <w:rPr>
          <w:sz w:val="20"/>
        </w:rPr>
        <w:t>trhy.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/>
        <w:ind w:left="772" w:right="114"/>
        <w:jc w:val="both"/>
      </w:pPr>
      <w:r>
        <w:rPr/>
        <w:t>Tento </w:t>
      </w:r>
      <w:r>
        <w:rPr>
          <w:b/>
        </w:rPr>
        <w:t>plán bude realizovat nová organizace</w:t>
      </w:r>
      <w:r>
        <w:rPr/>
        <w:t>: funkční útvary jsou společně s inženýrstvím odpovědné za konkurenceschopnost, náklady a lhůty pro uvedení na trh. Plně odpovědné značky řídí svou rentabilitu.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9" w:lineRule="auto"/>
        <w:ind w:left="772" w:right="112"/>
        <w:jc w:val="both"/>
      </w:pPr>
      <w:r>
        <w:rPr/>
        <w:t>Společně s touto organizací zaměřenou na hodnoty již nebude podnik posuzovat svou výkonnost na základě podílů na trhu a prodejů, ale na základě rentability, vytváření likvidit a efektivnosti investic.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772" w:right="0" w:firstLine="0"/>
        <w:jc w:val="both"/>
        <w:rPr>
          <w:sz w:val="20"/>
        </w:rPr>
      </w:pPr>
      <w:r>
        <w:rPr>
          <w:sz w:val="20"/>
        </w:rPr>
        <w:t>Skupina si stanovuje </w:t>
      </w:r>
      <w:r>
        <w:rPr>
          <w:b/>
          <w:sz w:val="20"/>
        </w:rPr>
        <w:t>nové finanční cíle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</w:tabs>
        <w:spacing w:line="259" w:lineRule="auto" w:before="30" w:after="0"/>
        <w:ind w:left="1840" w:right="111" w:hanging="356"/>
        <w:jc w:val="both"/>
        <w:rPr>
          <w:sz w:val="20"/>
        </w:rPr>
      </w:pPr>
      <w:r>
        <w:rPr>
          <w:sz w:val="20"/>
        </w:rPr>
        <w:t>Do roku 2023 hodlá skupina dosáhnout více než 3 % provozní marže skupiny, přibližně 3 miliard eur </w:t>
      </w:r>
      <w:r>
        <w:rPr>
          <w:i/>
          <w:sz w:val="20"/>
        </w:rPr>
        <w:t>volného </w:t>
      </w:r>
      <w:r>
        <w:rPr>
          <w:sz w:val="20"/>
        </w:rPr>
        <w:t>kumulovaného (2021-23) provozního </w:t>
      </w:r>
      <w:r>
        <w:rPr>
          <w:i/>
          <w:sz w:val="20"/>
        </w:rPr>
        <w:t>cash flow</w:t>
      </w:r>
      <w:r>
        <w:rPr>
          <w:i/>
          <w:sz w:val="20"/>
          <w:vertAlign w:val="superscript"/>
        </w:rPr>
        <w:t>2</w:t>
      </w:r>
      <w:r>
        <w:rPr>
          <w:i/>
          <w:sz w:val="20"/>
          <w:vertAlign w:val="baseline"/>
        </w:rPr>
        <w:t> </w:t>
      </w:r>
      <w:r>
        <w:rPr>
          <w:sz w:val="20"/>
          <w:vertAlign w:val="baseline"/>
        </w:rPr>
        <w:t>automobilky a snížení investic a výdajů na výzkum a vývoj na přibližně 8 %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obratu,</w:t>
      </w:r>
    </w:p>
    <w:p>
      <w:pPr>
        <w:pStyle w:val="ListParagraph"/>
        <w:numPr>
          <w:ilvl w:val="0"/>
          <w:numId w:val="1"/>
        </w:numPr>
        <w:tabs>
          <w:tab w:pos="1841" w:val="left" w:leader="none"/>
        </w:tabs>
        <w:spacing w:line="261" w:lineRule="auto" w:before="11" w:after="0"/>
        <w:ind w:left="1840" w:right="111" w:hanging="356"/>
        <w:jc w:val="both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roku</w:t>
      </w:r>
      <w:r>
        <w:rPr>
          <w:spacing w:val="-6"/>
          <w:sz w:val="20"/>
        </w:rPr>
        <w:t> </w:t>
      </w:r>
      <w:r>
        <w:rPr>
          <w:sz w:val="20"/>
        </w:rPr>
        <w:t>2025,</w:t>
      </w:r>
      <w:r>
        <w:rPr>
          <w:spacing w:val="-2"/>
          <w:sz w:val="20"/>
        </w:rPr>
        <w:t> </w:t>
      </w:r>
      <w:r>
        <w:rPr>
          <w:sz w:val="20"/>
        </w:rPr>
        <w:t>hodlá</w:t>
      </w:r>
      <w:r>
        <w:rPr>
          <w:spacing w:val="-4"/>
          <w:sz w:val="20"/>
        </w:rPr>
        <w:t> </w:t>
      </w:r>
      <w:r>
        <w:rPr>
          <w:sz w:val="20"/>
        </w:rPr>
        <w:t>skupina</w:t>
      </w:r>
      <w:r>
        <w:rPr>
          <w:spacing w:val="-6"/>
          <w:sz w:val="20"/>
        </w:rPr>
        <w:t> </w:t>
      </w:r>
      <w:r>
        <w:rPr>
          <w:sz w:val="20"/>
        </w:rPr>
        <w:t>dosáhnout</w:t>
      </w:r>
      <w:r>
        <w:rPr>
          <w:spacing w:val="-7"/>
          <w:sz w:val="20"/>
        </w:rPr>
        <w:t> </w:t>
      </w:r>
      <w:r>
        <w:rPr>
          <w:sz w:val="20"/>
        </w:rPr>
        <w:t>provozní</w:t>
      </w:r>
      <w:r>
        <w:rPr>
          <w:spacing w:val="-4"/>
          <w:sz w:val="20"/>
        </w:rPr>
        <w:t> </w:t>
      </w:r>
      <w:r>
        <w:rPr>
          <w:sz w:val="20"/>
        </w:rPr>
        <w:t>marže</w:t>
      </w:r>
      <w:r>
        <w:rPr>
          <w:spacing w:val="-4"/>
          <w:sz w:val="20"/>
        </w:rPr>
        <w:t> </w:t>
      </w:r>
      <w:r>
        <w:rPr>
          <w:sz w:val="20"/>
        </w:rPr>
        <w:t>skupiny</w:t>
      </w:r>
      <w:r>
        <w:rPr>
          <w:spacing w:val="-7"/>
          <w:sz w:val="20"/>
        </w:rPr>
        <w:t> </w:t>
      </w:r>
      <w:r>
        <w:rPr>
          <w:sz w:val="20"/>
        </w:rPr>
        <w:t>nejméně</w:t>
      </w:r>
      <w:r>
        <w:rPr>
          <w:spacing w:val="4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%,</w:t>
      </w:r>
      <w:r>
        <w:rPr>
          <w:spacing w:val="-4"/>
          <w:sz w:val="20"/>
        </w:rPr>
        <w:t> </w:t>
      </w:r>
      <w:r>
        <w:rPr>
          <w:sz w:val="20"/>
        </w:rPr>
        <w:t>přibližně</w:t>
      </w:r>
      <w:r>
        <w:rPr>
          <w:spacing w:val="-6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miliard eur </w:t>
      </w:r>
      <w:r>
        <w:rPr>
          <w:i/>
          <w:sz w:val="20"/>
        </w:rPr>
        <w:t>volného </w:t>
      </w:r>
      <w:r>
        <w:rPr>
          <w:sz w:val="20"/>
        </w:rPr>
        <w:t>kumulovaného (2021-25) provozního </w:t>
      </w:r>
      <w:r>
        <w:rPr>
          <w:i/>
          <w:sz w:val="20"/>
        </w:rPr>
        <w:t>cash flow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automobilky a navýšení ROCE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o nejméně 15 bodů oproti roku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2019.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772"/>
        <w:jc w:val="both"/>
      </w:pPr>
      <w:r>
        <w:rPr/>
        <w:t>Plán Renaulution zajistí trvalou rentabilitu skupiny při dodržení uhlíkové neutrality v Evropě do roku 2050.</w:t>
      </w:r>
    </w:p>
    <w:p>
      <w:pPr>
        <w:spacing w:line="240" w:lineRule="auto" w:before="18"/>
        <w:ind w:left="772" w:right="108" w:firstLine="0"/>
        <w:jc w:val="both"/>
        <w:rPr>
          <w:i/>
          <w:sz w:val="20"/>
        </w:rPr>
      </w:pPr>
      <w:r>
        <w:rPr>
          <w:i/>
          <w:sz w:val="20"/>
        </w:rPr>
        <w:t>„Plán Renaulution spočívá ve změně zaměření celého podniku od objemů k hodnotám. Nejedná se pouze o oživení, ale o hlubokou transformaci našeho modelu podniku. Položili jsme pevné a zdravé základy pro naši výkonnost. Zracionalizovali jsme naše činnosti, přičemž jsme začali inženýrstvím, upravili jsme naši velikost, když to bylo nutné, přesměrovali jsme naše zdroje na výrobky a technologie s velkým potenciálem. Tato</w:t>
      </w:r>
    </w:p>
    <w:p>
      <w:pPr>
        <w:pStyle w:val="BodyText"/>
        <w:spacing w:before="3"/>
        <w:rPr>
          <w:i/>
          <w:sz w:val="22"/>
        </w:rPr>
      </w:pPr>
      <w:r>
        <w:rPr/>
        <w:pict>
          <v:rect style="position:absolute;margin-left:56.625pt;margin-top:14.787178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893" w:val="left" w:leader="none"/>
        </w:tabs>
        <w:spacing w:line="240" w:lineRule="auto" w:before="71" w:after="0"/>
        <w:ind w:left="892" w:right="0" w:hanging="121"/>
        <w:jc w:val="left"/>
        <w:rPr>
          <w:i/>
          <w:sz w:val="12"/>
        </w:rPr>
      </w:pPr>
      <w:r>
        <w:rPr>
          <w:i/>
          <w:sz w:val="14"/>
        </w:rPr>
        <w:t>Plán 2o22 na snížení fixních nákladů o více než 2 miliardy eur v období 3 let byl představen dne 29. května</w:t>
      </w:r>
      <w:r>
        <w:rPr>
          <w:i/>
          <w:spacing w:val="-13"/>
          <w:sz w:val="14"/>
        </w:rPr>
        <w:t> </w:t>
      </w:r>
      <w:r>
        <w:rPr>
          <w:i/>
          <w:sz w:val="14"/>
        </w:rPr>
        <w:t>2020.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56" w:lineRule="auto" w:before="6" w:after="0"/>
        <w:ind w:left="772" w:right="124" w:firstLine="0"/>
        <w:jc w:val="left"/>
        <w:rPr>
          <w:i/>
          <w:sz w:val="13"/>
        </w:rPr>
      </w:pPr>
      <w:r>
        <w:rPr>
          <w:i/>
          <w:sz w:val="14"/>
        </w:rPr>
        <w:t>Volné provozní cash-flow v automobilovém průmyslu: peněžní toky po úrocích a daních (kromě dividend ze společností kótovaných na burze) minus čisté hmotné a nehmotné investice z prodejů +/- změna potřeby provozního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kapitálu.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04" w:lineRule="exact" w:before="0" w:after="0"/>
        <w:ind w:left="900" w:right="0" w:hanging="129"/>
        <w:jc w:val="left"/>
        <w:rPr>
          <w:i/>
          <w:sz w:val="13"/>
        </w:rPr>
      </w:pPr>
      <w:r>
        <w:rPr>
          <w:i/>
          <w:sz w:val="14"/>
        </w:rPr>
        <w:t>ROCE= Auto Operating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Profit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(včetně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AVTOVAZ) *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(1-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průměrná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míra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zdanění)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/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(PP&amp;E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+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nehmotná aktiva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+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finanční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aktiva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–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investice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do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RCI/Nissan/</w:t>
      </w:r>
    </w:p>
    <w:p>
      <w:pPr>
        <w:spacing w:before="15"/>
        <w:ind w:left="772" w:right="0" w:firstLine="0"/>
        <w:jc w:val="left"/>
        <w:rPr>
          <w:i/>
          <w:sz w:val="14"/>
        </w:rPr>
      </w:pPr>
      <w:r>
        <w:rPr>
          <w:i/>
          <w:sz w:val="14"/>
        </w:rPr>
        <w:t>Daimler + potřeba provozního kapitálu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40" w:bottom="280" w:left="360" w:right="1020"/>
        </w:sectPr>
      </w:pPr>
    </w:p>
    <w:p>
      <w:pPr>
        <w:pStyle w:val="BodyText"/>
        <w:spacing w:before="8"/>
        <w:rPr>
          <w:i/>
          <w:sz w:val="25"/>
        </w:rPr>
      </w:pPr>
    </w:p>
    <w:p>
      <w:pPr>
        <w:spacing w:line="240" w:lineRule="auto" w:before="93"/>
        <w:ind w:left="772" w:right="108" w:firstLine="0"/>
        <w:jc w:val="both"/>
        <w:rPr>
          <w:b/>
          <w:sz w:val="20"/>
        </w:rPr>
      </w:pPr>
      <w:r>
        <w:rPr>
          <w:i/>
          <w:sz w:val="20"/>
        </w:rPr>
        <w:t>zvýšená efektivita bude základem pro náš budoucí sortiment výrobků: technologických, elektrifikovaných a konkurenceschopných. A to bude základ pro sílu našich značek, přičemž každá z nich bude mít svá vlastní, jasná a rozdílná teritoria a všechny značky budou odpovědné za svou rentabilitu a spokojenost svých zákazníků. Přejdeme od automobilky používající technologie k technologickému podniku používajícímu vozidla,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kde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bude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2030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aspoň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%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příjmů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pocházet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ze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služeb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týkajících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údajů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obchodu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energií. Dosáhneme toho postupně a budeme přitom vycházet z předností tohoto velkého podniku, z kompetencí a zainteresovanosti našich pracovníků. Renaulution je strategický plán ‘vytvořený doma’, který se bude rozvíjet a realizovat stejným způsobem: společně“, </w:t>
      </w:r>
      <w:r>
        <w:rPr>
          <w:sz w:val="20"/>
        </w:rPr>
        <w:t>vysvětluje </w:t>
      </w:r>
      <w:r>
        <w:rPr>
          <w:b/>
          <w:sz w:val="20"/>
        </w:rPr>
        <w:t>Luca de Meo, generální ředitel skupiny</w:t>
      </w:r>
      <w:r>
        <w:rPr>
          <w:b/>
          <w:spacing w:val="-21"/>
          <w:sz w:val="20"/>
        </w:rPr>
        <w:t> </w:t>
      </w:r>
      <w:r>
        <w:rPr>
          <w:b/>
          <w:sz w:val="20"/>
        </w:rPr>
        <w:t>Renault.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772"/>
        <w:jc w:val="both"/>
      </w:pPr>
      <w:r>
        <w:rPr>
          <w:u w:val="single"/>
        </w:rPr>
        <w:t>Plán Renaulution obsahuje tyto nejdůležitější části: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133" w:val="left" w:leader="none"/>
        </w:tabs>
        <w:spacing w:line="259" w:lineRule="auto" w:before="94" w:after="0"/>
        <w:ind w:left="1132" w:right="113" w:hanging="356"/>
        <w:jc w:val="left"/>
        <w:rPr>
          <w:sz w:val="20"/>
        </w:rPr>
      </w:pPr>
      <w:r>
        <w:rPr>
          <w:b/>
          <w:sz w:val="20"/>
        </w:rPr>
        <w:t>Zvýšit efektivnost funkčních útvarů</w:t>
      </w:r>
      <w:r>
        <w:rPr>
          <w:sz w:val="20"/>
        </w:rPr>
        <w:t>, které budou odpovědné za konkurenceschopnost, náklady, lhůty pro vývoj a uvedení na</w:t>
      </w:r>
      <w:r>
        <w:rPr>
          <w:spacing w:val="-7"/>
          <w:sz w:val="20"/>
        </w:rPr>
        <w:t> </w:t>
      </w:r>
      <w:r>
        <w:rPr>
          <w:sz w:val="20"/>
        </w:rPr>
        <w:t>trh.</w:t>
      </w:r>
    </w:p>
    <w:p>
      <w:pPr>
        <w:pStyle w:val="Heading1"/>
        <w:numPr>
          <w:ilvl w:val="1"/>
          <w:numId w:val="3"/>
        </w:numPr>
        <w:tabs>
          <w:tab w:pos="1492" w:val="left" w:leader="none"/>
          <w:tab w:pos="1493" w:val="left" w:leader="none"/>
        </w:tabs>
        <w:spacing w:line="240" w:lineRule="auto" w:before="16" w:after="0"/>
        <w:ind w:left="1492" w:right="0" w:hanging="357"/>
        <w:jc w:val="left"/>
      </w:pPr>
      <w:r>
        <w:rPr/>
        <w:t>Zvýšit efektivnost, rychlost a výkonnost inženýrství a výroby, zlepšené</w:t>
      </w:r>
      <w:r>
        <w:rPr>
          <w:spacing w:val="-4"/>
        </w:rPr>
        <w:t> </w:t>
      </w:r>
      <w:r>
        <w:rPr/>
        <w:t>Aliancí:</w:t>
      </w:r>
    </w:p>
    <w:p>
      <w:pPr>
        <w:pStyle w:val="ListParagraph"/>
        <w:numPr>
          <w:ilvl w:val="2"/>
          <w:numId w:val="3"/>
        </w:numPr>
        <w:tabs>
          <w:tab w:pos="2212" w:val="left" w:leader="none"/>
          <w:tab w:pos="2213" w:val="left" w:leader="none"/>
        </w:tabs>
        <w:spacing w:line="240" w:lineRule="auto" w:before="7" w:after="0"/>
        <w:ind w:left="2213" w:right="111" w:hanging="357"/>
        <w:jc w:val="left"/>
        <w:rPr>
          <w:sz w:val="20"/>
        </w:rPr>
      </w:pPr>
      <w:r>
        <w:rPr>
          <w:sz w:val="20"/>
        </w:rPr>
        <w:t>Racionalizace platforem z 6 na 3 (s 80 % objemů skupina na platformách Aliance) a pohonných jednotek (z 8 na 4</w:t>
      </w:r>
      <w:r>
        <w:rPr>
          <w:spacing w:val="1"/>
          <w:sz w:val="20"/>
        </w:rPr>
        <w:t> </w:t>
      </w:r>
      <w:r>
        <w:rPr>
          <w:sz w:val="20"/>
        </w:rPr>
        <w:t>typy)</w:t>
      </w:r>
    </w:p>
    <w:p>
      <w:pPr>
        <w:pStyle w:val="ListParagraph"/>
        <w:numPr>
          <w:ilvl w:val="2"/>
          <w:numId w:val="3"/>
        </w:numPr>
        <w:tabs>
          <w:tab w:pos="2212" w:val="left" w:leader="none"/>
          <w:tab w:pos="2213" w:val="left" w:leader="none"/>
        </w:tabs>
        <w:spacing w:line="240" w:lineRule="auto" w:before="19" w:after="0"/>
        <w:ind w:left="2213" w:right="123" w:hanging="357"/>
        <w:jc w:val="left"/>
        <w:rPr>
          <w:sz w:val="20"/>
        </w:rPr>
      </w:pPr>
      <w:r>
        <w:rPr>
          <w:sz w:val="20"/>
        </w:rPr>
        <w:t>Všechny modely, které budou na stávajících platformách, budou uvedeny na trh maximálně do 3</w:t>
      </w:r>
      <w:r>
        <w:rPr>
          <w:spacing w:val="1"/>
          <w:sz w:val="20"/>
        </w:rPr>
        <w:t> </w:t>
      </w:r>
      <w:r>
        <w:rPr>
          <w:sz w:val="20"/>
        </w:rPr>
        <w:t>let</w:t>
      </w:r>
    </w:p>
    <w:p>
      <w:pPr>
        <w:pStyle w:val="ListParagraph"/>
        <w:numPr>
          <w:ilvl w:val="2"/>
          <w:numId w:val="3"/>
        </w:numPr>
        <w:tabs>
          <w:tab w:pos="2212" w:val="left" w:leader="none"/>
          <w:tab w:pos="2213" w:val="left" w:leader="none"/>
        </w:tabs>
        <w:spacing w:line="240" w:lineRule="auto" w:before="18" w:after="0"/>
        <w:ind w:left="2213" w:right="111" w:hanging="357"/>
        <w:jc w:val="left"/>
        <w:rPr>
          <w:sz w:val="20"/>
        </w:rPr>
      </w:pPr>
      <w:r>
        <w:rPr>
          <w:sz w:val="20"/>
        </w:rPr>
        <w:t>Předimenzování výrobní kapacity ze 4 milionů kusů v roce 2019 na 3,1 milionu kusů v roce 2025 (Harbour</w:t>
      </w:r>
      <w:r>
        <w:rPr>
          <w:spacing w:val="2"/>
          <w:sz w:val="20"/>
        </w:rPr>
        <w:t> </w:t>
      </w:r>
      <w:r>
        <w:rPr>
          <w:sz w:val="20"/>
        </w:rPr>
        <w:t>reference)</w:t>
      </w:r>
    </w:p>
    <w:p>
      <w:pPr>
        <w:pStyle w:val="ListParagraph"/>
        <w:numPr>
          <w:ilvl w:val="2"/>
          <w:numId w:val="3"/>
        </w:numPr>
        <w:tabs>
          <w:tab w:pos="2212" w:val="left" w:leader="none"/>
          <w:tab w:pos="2213" w:val="left" w:leader="none"/>
        </w:tabs>
        <w:spacing w:line="228" w:lineRule="exact" w:before="18" w:after="0"/>
        <w:ind w:left="2213" w:right="0" w:hanging="357"/>
        <w:jc w:val="left"/>
        <w:rPr>
          <w:sz w:val="20"/>
        </w:rPr>
      </w:pPr>
      <w:r>
        <w:rPr>
          <w:sz w:val="20"/>
        </w:rPr>
        <w:t>Větší efektivnost ve vztazích s</w:t>
      </w:r>
      <w:r>
        <w:rPr>
          <w:spacing w:val="-8"/>
          <w:sz w:val="20"/>
        </w:rPr>
        <w:t> </w:t>
      </w:r>
      <w:r>
        <w:rPr>
          <w:sz w:val="20"/>
        </w:rPr>
        <w:t>dodavateli</w:t>
      </w:r>
    </w:p>
    <w:p>
      <w:pPr>
        <w:pStyle w:val="ListParagraph"/>
        <w:numPr>
          <w:ilvl w:val="1"/>
          <w:numId w:val="3"/>
        </w:numPr>
        <w:tabs>
          <w:tab w:pos="1493" w:val="left" w:leader="none"/>
        </w:tabs>
        <w:spacing w:line="240" w:lineRule="exact" w:before="24" w:after="0"/>
        <w:ind w:left="1492" w:right="113" w:hanging="360"/>
        <w:jc w:val="both"/>
        <w:rPr>
          <w:sz w:val="20"/>
        </w:rPr>
      </w:pPr>
      <w:r>
        <w:rPr>
          <w:b/>
          <w:sz w:val="20"/>
        </w:rPr>
        <w:t>Zaměřit mezinárodní přítomnost skupiny na trhy s velkou marží</w:t>
      </w:r>
      <w:r>
        <w:rPr>
          <w:sz w:val="20"/>
        </w:rPr>
        <w:t>: zejména v Latinské Americe,   v Indii a v Koreji, při využití naší konkurenceschopnosti ve Španělsku, Maroku, Rumunsku a Turecku a vytvoření větší součinnosti s</w:t>
      </w:r>
      <w:r>
        <w:rPr>
          <w:spacing w:val="-5"/>
          <w:sz w:val="20"/>
        </w:rPr>
        <w:t> </w:t>
      </w:r>
      <w:r>
        <w:rPr>
          <w:sz w:val="20"/>
        </w:rPr>
        <w:t>Ruskem.</w:t>
      </w:r>
    </w:p>
    <w:p>
      <w:pPr>
        <w:pStyle w:val="Heading1"/>
        <w:numPr>
          <w:ilvl w:val="1"/>
          <w:numId w:val="3"/>
        </w:numPr>
        <w:tabs>
          <w:tab w:pos="1493" w:val="left" w:leader="none"/>
        </w:tabs>
        <w:spacing w:line="240" w:lineRule="auto" w:before="21" w:after="0"/>
        <w:ind w:left="1492" w:right="0" w:hanging="357"/>
        <w:jc w:val="both"/>
      </w:pPr>
      <w:r>
        <w:rPr/>
        <w:t>Prosadit přísnou disciplínu v oblasti</w:t>
      </w:r>
      <w:r>
        <w:rPr>
          <w:spacing w:val="-3"/>
        </w:rPr>
        <w:t> </w:t>
      </w:r>
      <w:r>
        <w:rPr/>
        <w:t>nákladů:</w:t>
      </w:r>
    </w:p>
    <w:p>
      <w:pPr>
        <w:pStyle w:val="ListParagraph"/>
        <w:numPr>
          <w:ilvl w:val="2"/>
          <w:numId w:val="3"/>
        </w:numPr>
        <w:tabs>
          <w:tab w:pos="2213" w:val="left" w:leader="none"/>
        </w:tabs>
        <w:spacing w:line="240" w:lineRule="auto" w:before="7" w:after="0"/>
        <w:ind w:left="2213" w:right="112" w:hanging="361"/>
        <w:jc w:val="both"/>
        <w:rPr>
          <w:sz w:val="20"/>
        </w:rPr>
      </w:pPr>
      <w:r>
        <w:rPr>
          <w:sz w:val="20"/>
        </w:rPr>
        <w:t>Snížení fixních nákladů: plán 2o22, dokončení před fází, která sahá až do roku 2023, s</w:t>
      </w:r>
      <w:r>
        <w:rPr>
          <w:spacing w:val="-33"/>
          <w:sz w:val="20"/>
        </w:rPr>
        <w:t> </w:t>
      </w:r>
      <w:r>
        <w:rPr>
          <w:sz w:val="20"/>
        </w:rPr>
        <w:t>cílem dostat se na -2,5 miliard eur a cíl -3 miliardy eur v roce 2025 (včetně změny fixních</w:t>
      </w:r>
      <w:r>
        <w:rPr>
          <w:spacing w:val="-17"/>
          <w:sz w:val="20"/>
        </w:rPr>
        <w:t> </w:t>
      </w:r>
      <w:r>
        <w:rPr>
          <w:sz w:val="20"/>
        </w:rPr>
        <w:t>nákladů)</w:t>
      </w:r>
    </w:p>
    <w:p>
      <w:pPr>
        <w:pStyle w:val="ListParagraph"/>
        <w:numPr>
          <w:ilvl w:val="2"/>
          <w:numId w:val="3"/>
        </w:numPr>
        <w:tabs>
          <w:tab w:pos="2213" w:val="left" w:leader="none"/>
        </w:tabs>
        <w:spacing w:line="240" w:lineRule="auto" w:before="19" w:after="0"/>
        <w:ind w:left="2213" w:right="0" w:hanging="357"/>
        <w:jc w:val="both"/>
        <w:rPr>
          <w:sz w:val="20"/>
        </w:rPr>
      </w:pPr>
      <w:r>
        <w:rPr>
          <w:sz w:val="20"/>
        </w:rPr>
        <w:t>Variabilní náklady: zlepšení o 600 € na vozidlo</w:t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do roku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2023</w:t>
      </w:r>
    </w:p>
    <w:p>
      <w:pPr>
        <w:pStyle w:val="ListParagraph"/>
        <w:numPr>
          <w:ilvl w:val="2"/>
          <w:numId w:val="3"/>
        </w:numPr>
        <w:tabs>
          <w:tab w:pos="2213" w:val="left" w:leader="none"/>
        </w:tabs>
        <w:spacing w:line="240" w:lineRule="auto" w:before="0" w:after="0"/>
        <w:ind w:left="2213" w:right="112" w:hanging="357"/>
        <w:jc w:val="both"/>
        <w:rPr>
          <w:sz w:val="20"/>
        </w:rPr>
      </w:pPr>
      <w:r>
        <w:rPr>
          <w:sz w:val="20"/>
        </w:rPr>
        <w:t>Snížení investic a výdajů na výzkum a vývoj z přibližně 10% obratu na méně než 8 % v roce 2025</w:t>
      </w:r>
    </w:p>
    <w:p>
      <w:pPr>
        <w:pStyle w:val="BodyText"/>
        <w:spacing w:before="138"/>
        <w:ind w:left="772"/>
      </w:pPr>
      <w:r>
        <w:rPr/>
        <w:t>Všechno toto úsilí zvýší pružnost skupiny a sníží její mrtvý bod o 30 % do roku 2023.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33" w:val="left" w:leader="none"/>
        </w:tabs>
        <w:spacing w:line="261" w:lineRule="auto" w:before="0" w:after="0"/>
        <w:ind w:left="1132" w:right="112" w:hanging="360"/>
        <w:jc w:val="both"/>
        <w:rPr>
          <w:sz w:val="20"/>
        </w:rPr>
      </w:pPr>
      <w:r>
        <w:rPr>
          <w:b/>
          <w:sz w:val="20"/>
        </w:rPr>
        <w:t>Poskytnout čtyřem podnikatelským jednotkám silnou identitu a postavení. </w:t>
      </w:r>
      <w:r>
        <w:rPr>
          <w:sz w:val="20"/>
        </w:rPr>
        <w:t>Tato nová organizace umožní</w:t>
      </w:r>
      <w:r>
        <w:rPr>
          <w:spacing w:val="-5"/>
          <w:sz w:val="20"/>
        </w:rPr>
        <w:t> </w:t>
      </w:r>
      <w:r>
        <w:rPr>
          <w:sz w:val="20"/>
        </w:rPr>
        <w:t>vytvořit</w:t>
      </w:r>
      <w:r>
        <w:rPr>
          <w:spacing w:val="-6"/>
          <w:sz w:val="20"/>
        </w:rPr>
        <w:t> </w:t>
      </w:r>
      <w:r>
        <w:rPr>
          <w:sz w:val="20"/>
        </w:rPr>
        <w:t>znovu</w:t>
      </w:r>
      <w:r>
        <w:rPr>
          <w:spacing w:val="-4"/>
          <w:sz w:val="20"/>
        </w:rPr>
        <w:t> </w:t>
      </w:r>
      <w:r>
        <w:rPr>
          <w:sz w:val="20"/>
        </w:rPr>
        <w:t>rovnovážné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rentabilnější</w:t>
      </w:r>
      <w:r>
        <w:rPr>
          <w:spacing w:val="-5"/>
          <w:sz w:val="20"/>
        </w:rPr>
        <w:t> </w:t>
      </w:r>
      <w:r>
        <w:rPr>
          <w:sz w:val="20"/>
        </w:rPr>
        <w:t>portfolio</w:t>
      </w:r>
      <w:r>
        <w:rPr>
          <w:spacing w:val="-5"/>
          <w:sz w:val="20"/>
        </w:rPr>
        <w:t> </w:t>
      </w:r>
      <w:r>
        <w:rPr>
          <w:sz w:val="20"/>
        </w:rPr>
        <w:t>výrobků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7"/>
          <w:sz w:val="20"/>
        </w:rPr>
        <w:t> </w:t>
      </w:r>
      <w:r>
        <w:rPr>
          <w:sz w:val="20"/>
        </w:rPr>
        <w:t>uvedením</w:t>
      </w:r>
      <w:r>
        <w:rPr>
          <w:spacing w:val="-4"/>
          <w:sz w:val="20"/>
        </w:rPr>
        <w:t> </w:t>
      </w:r>
      <w:r>
        <w:rPr>
          <w:sz w:val="20"/>
        </w:rPr>
        <w:t>24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3"/>
          <w:sz w:val="20"/>
        </w:rPr>
        <w:t> </w:t>
      </w:r>
      <w:r>
        <w:rPr>
          <w:sz w:val="20"/>
        </w:rPr>
        <w:t>produktů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trh do roku 2025 – z nichž bude polovina v segmentech C/D – a aspoň 10</w:t>
      </w:r>
      <w:r>
        <w:rPr>
          <w:spacing w:val="-15"/>
          <w:sz w:val="20"/>
        </w:rPr>
        <w:t> </w:t>
      </w:r>
      <w:r>
        <w:rPr>
          <w:sz w:val="20"/>
        </w:rPr>
        <w:t>elektromobilů.</w:t>
      </w:r>
    </w:p>
    <w:p>
      <w:pPr>
        <w:pStyle w:val="BodyText"/>
        <w:spacing w:line="259" w:lineRule="auto"/>
        <w:ind w:left="1132" w:right="111"/>
        <w:jc w:val="both"/>
      </w:pPr>
      <w:r>
        <w:rPr/>
        <w:t>Tato nová organizace zaměřená na hodnoty a tato výrobková ofenzíva umožní zlepšit ceny a výrobkový mix.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772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b/>
          <w:sz w:val="20"/>
        </w:rPr>
        <w:t>Renault, </w:t>
      </w:r>
      <w:r>
        <w:rPr>
          <w:rFonts w:ascii="Arial-BoldItalicMT" w:hAnsi="Arial-BoldItalicMT"/>
          <w:b/>
          <w:i/>
          <w:sz w:val="20"/>
        </w:rPr>
        <w:t>Nová vlna</w:t>
      </w:r>
    </w:p>
    <w:p>
      <w:pPr>
        <w:pStyle w:val="BodyText"/>
        <w:spacing w:line="259" w:lineRule="auto" w:before="138"/>
        <w:ind w:left="772" w:right="118"/>
        <w:jc w:val="both"/>
      </w:pPr>
      <w:r>
        <w:rPr/>
        <w:t>Značka  ztělesňuje  modernost  a   inovaci   v rámci   a  nad  rámec   automobilového  průmyslu,   například  v energetických a technologických službách a službách zaměřených na</w:t>
      </w:r>
      <w:r>
        <w:rPr>
          <w:spacing w:val="-2"/>
        </w:rPr>
        <w:t> </w:t>
      </w:r>
      <w:r>
        <w:rPr/>
        <w:t>mobilitu.</w:t>
      </w:r>
    </w:p>
    <w:p>
      <w:pPr>
        <w:pStyle w:val="BodyText"/>
        <w:spacing w:line="259" w:lineRule="auto"/>
        <w:ind w:left="772" w:right="111"/>
        <w:jc w:val="both"/>
      </w:pPr>
      <w:r>
        <w:rPr/>
        <w:t>Značka v rámci své strategii změní svůj segmentový mix díky ofenzivě v segmentu C a posílí své postavení v</w:t>
      </w:r>
      <w:r>
        <w:rPr>
          <w:spacing w:val="-2"/>
        </w:rPr>
        <w:t> </w:t>
      </w:r>
      <w:r>
        <w:rPr/>
        <w:t>Evropě,</w:t>
      </w:r>
      <w:r>
        <w:rPr>
          <w:spacing w:val="-14"/>
        </w:rPr>
        <w:t> </w:t>
      </w:r>
      <w:r>
        <w:rPr/>
        <w:t>přičemž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soustředí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rentabilní</w:t>
      </w:r>
      <w:r>
        <w:rPr>
          <w:spacing w:val="-14"/>
        </w:rPr>
        <w:t> </w:t>
      </w:r>
      <w:r>
        <w:rPr/>
        <w:t>segmenty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/>
        <w:t>kanály</w:t>
      </w:r>
      <w:r>
        <w:rPr>
          <w:spacing w:val="-14"/>
        </w:rPr>
        <w:t> </w:t>
      </w:r>
      <w:r>
        <w:rPr/>
        <w:t>na</w:t>
      </w:r>
      <w:r>
        <w:rPr>
          <w:spacing w:val="-16"/>
        </w:rPr>
        <w:t> </w:t>
      </w:r>
      <w:r>
        <w:rPr/>
        <w:t>klíčových</w:t>
      </w:r>
      <w:r>
        <w:rPr>
          <w:spacing w:val="-13"/>
        </w:rPr>
        <w:t> </w:t>
      </w:r>
      <w:r>
        <w:rPr/>
        <w:t>trzích,</w:t>
      </w:r>
      <w:r>
        <w:rPr>
          <w:spacing w:val="-14"/>
        </w:rPr>
        <w:t> </w:t>
      </w:r>
      <w:r>
        <w:rPr/>
        <w:t>jako</w:t>
      </w:r>
      <w:r>
        <w:rPr>
          <w:spacing w:val="-12"/>
        </w:rPr>
        <w:t> </w:t>
      </w:r>
      <w:r>
        <w:rPr/>
        <w:t>jsou</w:t>
      </w:r>
      <w:r>
        <w:rPr>
          <w:spacing w:val="-17"/>
        </w:rPr>
        <w:t> </w:t>
      </w:r>
      <w:r>
        <w:rPr/>
        <w:t>Latinská</w:t>
      </w:r>
      <w:r>
        <w:rPr>
          <w:spacing w:val="-12"/>
        </w:rPr>
        <w:t> </w:t>
      </w:r>
      <w:r>
        <w:rPr/>
        <w:t>Amerika a Rusko.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18" w:lineRule="exact"/>
        <w:ind w:right="5572"/>
        <w:jc w:val="right"/>
      </w:pPr>
      <w:r>
        <w:rPr/>
        <w:t>Značka se bude opírat o naše pevné přednosti:</w:t>
      </w:r>
    </w:p>
    <w:p>
      <w:pPr>
        <w:pStyle w:val="Heading1"/>
        <w:numPr>
          <w:ilvl w:val="0"/>
          <w:numId w:val="4"/>
        </w:numPr>
        <w:tabs>
          <w:tab w:pos="359" w:val="left" w:leader="none"/>
          <w:tab w:pos="360" w:val="left" w:leader="none"/>
        </w:tabs>
        <w:spacing w:line="276" w:lineRule="exact" w:before="0" w:after="0"/>
        <w:ind w:left="1492" w:right="5474" w:hanging="1493"/>
        <w:jc w:val="right"/>
      </w:pPr>
      <w:r>
        <w:rPr/>
        <w:t>Jednička v elektrifikaci v roce 2025</w:t>
      </w:r>
      <w:r>
        <w:rPr>
          <w:spacing w:val="-14"/>
        </w:rPr>
        <w:t> </w:t>
      </w:r>
      <w:r>
        <w:rPr/>
        <w:t>a:</w:t>
      </w:r>
    </w:p>
    <w:p>
      <w:pPr>
        <w:pStyle w:val="ListParagraph"/>
        <w:numPr>
          <w:ilvl w:val="1"/>
          <w:numId w:val="4"/>
        </w:numPr>
        <w:tabs>
          <w:tab w:pos="2212" w:val="left" w:leader="none"/>
          <w:tab w:pos="2213" w:val="left" w:leader="none"/>
        </w:tabs>
        <w:spacing w:line="240" w:lineRule="auto" w:before="7" w:after="0"/>
        <w:ind w:left="2213" w:right="126" w:hanging="361"/>
        <w:jc w:val="left"/>
        <w:rPr>
          <w:sz w:val="20"/>
        </w:rPr>
      </w:pPr>
      <w:r>
        <w:rPr>
          <w:sz w:val="20"/>
        </w:rPr>
        <w:t>„Elektro centrum“, potenciálně na severu Francie, největší výrobní kapacita elektromobilů skupiny na</w:t>
      </w:r>
      <w:r>
        <w:rPr>
          <w:spacing w:val="-1"/>
          <w:sz w:val="20"/>
        </w:rPr>
        <w:t> </w:t>
      </w:r>
      <w:r>
        <w:rPr>
          <w:sz w:val="20"/>
        </w:rPr>
        <w:t>světě</w:t>
      </w:r>
    </w:p>
    <w:p>
      <w:pPr>
        <w:pStyle w:val="ListParagraph"/>
        <w:numPr>
          <w:ilvl w:val="1"/>
          <w:numId w:val="4"/>
        </w:numPr>
        <w:tabs>
          <w:tab w:pos="2212" w:val="left" w:leader="none"/>
          <w:tab w:pos="2213" w:val="left" w:leader="none"/>
        </w:tabs>
        <w:spacing w:line="240" w:lineRule="auto" w:before="19" w:after="0"/>
        <w:ind w:left="2213" w:right="0" w:hanging="361"/>
        <w:jc w:val="left"/>
        <w:rPr>
          <w:sz w:val="20"/>
        </w:rPr>
      </w:pPr>
      <w:r>
        <w:rPr>
          <w:sz w:val="20"/>
        </w:rPr>
        <w:t>Vodíkový joint-venture pro vozidla s palivovými</w:t>
      </w:r>
      <w:r>
        <w:rPr>
          <w:spacing w:val="-2"/>
          <w:sz w:val="20"/>
        </w:rPr>
        <w:t> </w:t>
      </w:r>
      <w:r>
        <w:rPr>
          <w:sz w:val="20"/>
        </w:rPr>
        <w:t>články</w:t>
      </w:r>
    </w:p>
    <w:p>
      <w:pPr>
        <w:pStyle w:val="ListParagraph"/>
        <w:numPr>
          <w:ilvl w:val="1"/>
          <w:numId w:val="4"/>
        </w:numPr>
        <w:tabs>
          <w:tab w:pos="2212" w:val="left" w:leader="none"/>
          <w:tab w:pos="2213" w:val="left" w:leader="none"/>
        </w:tabs>
        <w:spacing w:line="240" w:lineRule="auto" w:before="0" w:after="0"/>
        <w:ind w:left="2213" w:right="0" w:hanging="361"/>
        <w:jc w:val="left"/>
        <w:rPr>
          <w:sz w:val="20"/>
        </w:rPr>
      </w:pPr>
      <w:r>
        <w:rPr>
          <w:sz w:val="20"/>
        </w:rPr>
        <w:t>„Nejekologičtější“ výrobkový mix v</w:t>
      </w:r>
      <w:r>
        <w:rPr>
          <w:spacing w:val="-1"/>
          <w:sz w:val="20"/>
        </w:rPr>
        <w:t> </w:t>
      </w:r>
      <w:r>
        <w:rPr>
          <w:sz w:val="20"/>
        </w:rPr>
        <w:t>Evropě</w:t>
      </w: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56.625pt;margin-top:13.215511pt;width:144.05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71" w:after="0"/>
        <w:ind w:left="900" w:right="0" w:hanging="129"/>
        <w:jc w:val="left"/>
        <w:rPr>
          <w:i/>
          <w:sz w:val="13"/>
        </w:rPr>
      </w:pPr>
      <w:r>
        <w:rPr>
          <w:i/>
          <w:sz w:val="16"/>
        </w:rPr>
        <w:t>A iso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mix.</w:t>
      </w:r>
    </w:p>
    <w:p>
      <w:pPr>
        <w:spacing w:after="0" w:line="240" w:lineRule="auto"/>
        <w:jc w:val="left"/>
        <w:rPr>
          <w:sz w:val="13"/>
        </w:rPr>
        <w:sectPr>
          <w:pgSz w:w="11910" w:h="16840"/>
          <w:pgMar w:top="1580" w:bottom="280" w:left="360" w:right="1020"/>
        </w:sectPr>
      </w:pPr>
    </w:p>
    <w:p>
      <w:pPr>
        <w:pStyle w:val="BodyText"/>
        <w:spacing w:before="8"/>
        <w:rPr>
          <w:i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212" w:val="left" w:leader="none"/>
          <w:tab w:pos="2213" w:val="left" w:leader="none"/>
        </w:tabs>
        <w:spacing w:line="240" w:lineRule="auto" w:before="93" w:after="0"/>
        <w:ind w:left="2213" w:right="119" w:hanging="361"/>
        <w:jc w:val="left"/>
        <w:rPr>
          <w:sz w:val="20"/>
        </w:rPr>
      </w:pPr>
      <w:r>
        <w:rPr>
          <w:sz w:val="20"/>
        </w:rPr>
        <w:t>Polovinu</w:t>
      </w:r>
      <w:r>
        <w:rPr>
          <w:spacing w:val="-11"/>
          <w:sz w:val="20"/>
        </w:rPr>
        <w:t> </w:t>
      </w:r>
      <w:r>
        <w:rPr>
          <w:sz w:val="20"/>
        </w:rPr>
        <w:t>výrobků</w:t>
      </w:r>
      <w:r>
        <w:rPr>
          <w:spacing w:val="-15"/>
          <w:sz w:val="20"/>
        </w:rPr>
        <w:t> </w:t>
      </w:r>
      <w:r>
        <w:rPr>
          <w:sz w:val="20"/>
        </w:rPr>
        <w:t>uváděných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trh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Evropě</w:t>
      </w:r>
      <w:r>
        <w:rPr>
          <w:spacing w:val="-11"/>
          <w:sz w:val="20"/>
        </w:rPr>
        <w:t> </w:t>
      </w:r>
      <w:r>
        <w:rPr>
          <w:sz w:val="20"/>
        </w:rPr>
        <w:t>budou</w:t>
      </w:r>
      <w:r>
        <w:rPr>
          <w:spacing w:val="-11"/>
          <w:sz w:val="20"/>
        </w:rPr>
        <w:t> </w:t>
      </w:r>
      <w:r>
        <w:rPr>
          <w:sz w:val="20"/>
        </w:rPr>
        <w:t>tvořit</w:t>
      </w:r>
      <w:r>
        <w:rPr>
          <w:spacing w:val="-11"/>
          <w:sz w:val="20"/>
        </w:rPr>
        <w:t> </w:t>
      </w:r>
      <w:r>
        <w:rPr>
          <w:sz w:val="20"/>
        </w:rPr>
        <w:t>elektromobily,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mají</w:t>
      </w:r>
      <w:r>
        <w:rPr>
          <w:spacing w:val="-11"/>
          <w:sz w:val="20"/>
        </w:rPr>
        <w:t> </w:t>
      </w:r>
      <w:r>
        <w:rPr>
          <w:sz w:val="20"/>
        </w:rPr>
        <w:t>větší</w:t>
      </w:r>
      <w:r>
        <w:rPr>
          <w:spacing w:val="-15"/>
          <w:sz w:val="20"/>
        </w:rPr>
        <w:t> </w:t>
      </w:r>
      <w:r>
        <w:rPr>
          <w:sz w:val="20"/>
        </w:rPr>
        <w:t>marži než vozidla se spalovacím motorem (v</w:t>
      </w:r>
      <w:r>
        <w:rPr>
          <w:spacing w:val="-5"/>
          <w:sz w:val="20"/>
        </w:rPr>
        <w:t> </w:t>
      </w:r>
      <w:r>
        <w:rPr>
          <w:sz w:val="20"/>
        </w:rPr>
        <w:t>eurech)</w:t>
      </w:r>
    </w:p>
    <w:p>
      <w:pPr>
        <w:pStyle w:val="ListParagraph"/>
        <w:numPr>
          <w:ilvl w:val="1"/>
          <w:numId w:val="2"/>
        </w:numPr>
        <w:tabs>
          <w:tab w:pos="2212" w:val="left" w:leader="none"/>
          <w:tab w:pos="2213" w:val="left" w:leader="none"/>
        </w:tabs>
        <w:spacing w:line="226" w:lineRule="exact" w:before="18" w:after="0"/>
        <w:ind w:left="2213" w:right="0" w:hanging="361"/>
        <w:jc w:val="left"/>
        <w:rPr>
          <w:sz w:val="20"/>
        </w:rPr>
      </w:pPr>
      <w:r>
        <w:rPr>
          <w:sz w:val="20"/>
        </w:rPr>
        <w:t>Pokusit se prosadit na trhu s hybridy s 35 %</w:t>
      </w:r>
      <w:r>
        <w:rPr>
          <w:spacing w:val="2"/>
          <w:sz w:val="20"/>
        </w:rPr>
        <w:t> </w:t>
      </w:r>
      <w:r>
        <w:rPr>
          <w:sz w:val="20"/>
        </w:rPr>
        <w:t>mixu</w:t>
      </w:r>
    </w:p>
    <w:p>
      <w:pPr>
        <w:pStyle w:val="ListParagraph"/>
        <w:numPr>
          <w:ilvl w:val="0"/>
          <w:numId w:val="5"/>
        </w:numPr>
        <w:tabs>
          <w:tab w:pos="1492" w:val="left" w:leader="none"/>
          <w:tab w:pos="1493" w:val="left" w:leader="none"/>
        </w:tabs>
        <w:spacing w:line="248" w:lineRule="exact" w:before="15" w:after="0"/>
        <w:ind w:left="1492" w:right="114" w:hanging="360"/>
        <w:jc w:val="left"/>
        <w:rPr>
          <w:sz w:val="20"/>
        </w:rPr>
      </w:pPr>
      <w:r>
        <w:rPr>
          <w:b/>
          <w:sz w:val="20"/>
        </w:rPr>
        <w:t>Centrum high-tech </w:t>
      </w:r>
      <w:r>
        <w:rPr>
          <w:sz w:val="20"/>
        </w:rPr>
        <w:t>ekosystémů: stát se aktérem v oblasti klíčových technologií od big data </w:t>
      </w:r>
      <w:r>
        <w:rPr>
          <w:spacing w:val="-4"/>
          <w:sz w:val="20"/>
        </w:rPr>
        <w:t>po </w:t>
      </w:r>
      <w:r>
        <w:rPr>
          <w:sz w:val="20"/>
        </w:rPr>
        <w:t>kybernetickou bezpečnost se „Softwarem</w:t>
      </w:r>
      <w:r>
        <w:rPr>
          <w:spacing w:val="-2"/>
          <w:sz w:val="20"/>
        </w:rPr>
        <w:t> </w:t>
      </w:r>
      <w:r>
        <w:rPr>
          <w:sz w:val="20"/>
        </w:rPr>
        <w:t>République“</w:t>
      </w:r>
    </w:p>
    <w:p>
      <w:pPr>
        <w:pStyle w:val="ListParagraph"/>
        <w:numPr>
          <w:ilvl w:val="0"/>
          <w:numId w:val="5"/>
        </w:numPr>
        <w:tabs>
          <w:tab w:pos="1492" w:val="left" w:leader="none"/>
          <w:tab w:pos="1493" w:val="left" w:leader="none"/>
        </w:tabs>
        <w:spacing w:line="248" w:lineRule="exact" w:before="5" w:after="0"/>
        <w:ind w:left="1492" w:right="111" w:hanging="360"/>
        <w:jc w:val="left"/>
        <w:rPr>
          <w:sz w:val="20"/>
        </w:rPr>
      </w:pPr>
      <w:r>
        <w:rPr>
          <w:b/>
          <w:sz w:val="20"/>
        </w:rPr>
        <w:t>Jednička v cirkulární ekonomice </w:t>
      </w:r>
      <w:r>
        <w:rPr>
          <w:sz w:val="20"/>
        </w:rPr>
        <w:t>se službami zaměřenými na elektromobily a energii díky Re- Factory ve Flins</w:t>
      </w:r>
      <w:r>
        <w:rPr>
          <w:spacing w:val="-3"/>
          <w:sz w:val="20"/>
        </w:rPr>
        <w:t> </w:t>
      </w:r>
      <w:r>
        <w:rPr>
          <w:sz w:val="20"/>
        </w:rPr>
        <w:t>(Francie)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1"/>
        <w:ind w:left="772" w:right="0" w:firstLine="0"/>
        <w:jc w:val="both"/>
        <w:rPr>
          <w:rFonts w:ascii="Arial-BoldItalicMT" w:hAnsi="Arial-BoldItalicMT"/>
          <w:b/>
          <w:i/>
          <w:sz w:val="20"/>
        </w:rPr>
      </w:pPr>
      <w:r>
        <w:rPr>
          <w:b/>
          <w:sz w:val="20"/>
        </w:rPr>
        <w:t>Dacia-Lada, </w:t>
      </w:r>
      <w:r>
        <w:rPr>
          <w:rFonts w:ascii="Arial-BoldItalicMT" w:hAnsi="Arial-BoldItalicMT"/>
          <w:b/>
          <w:i/>
          <w:sz w:val="20"/>
        </w:rPr>
        <w:t>Vše. Jednoduše</w:t>
      </w:r>
    </w:p>
    <w:p>
      <w:pPr>
        <w:pStyle w:val="BodyText"/>
        <w:spacing w:line="259" w:lineRule="auto" w:before="138"/>
        <w:ind w:left="772" w:right="116"/>
        <w:jc w:val="both"/>
      </w:pPr>
      <w:r>
        <w:rPr/>
        <w:t>Dacia,</w:t>
      </w:r>
      <w:r>
        <w:rPr>
          <w:spacing w:val="-10"/>
        </w:rPr>
        <w:t> </w:t>
      </w:r>
      <w:r>
        <w:rPr/>
        <w:t>která</w:t>
      </w:r>
      <w:r>
        <w:rPr>
          <w:spacing w:val="-8"/>
        </w:rPr>
        <w:t> </w:t>
      </w:r>
      <w:r>
        <w:rPr/>
        <w:t>zůstává</w:t>
      </w:r>
      <w:r>
        <w:rPr>
          <w:spacing w:val="-9"/>
        </w:rPr>
        <w:t> </w:t>
      </w:r>
      <w:r>
        <w:rPr/>
        <w:t>Dacií</w:t>
      </w:r>
      <w:r>
        <w:rPr>
          <w:spacing w:val="-9"/>
        </w:rPr>
        <w:t> </w:t>
      </w:r>
      <w:r>
        <w:rPr/>
        <w:t>s</w:t>
      </w:r>
      <w:r>
        <w:rPr>
          <w:spacing w:val="1"/>
        </w:rPr>
        <w:t> </w:t>
      </w:r>
      <w:r>
        <w:rPr/>
        <w:t>dotykem</w:t>
      </w:r>
      <w:r>
        <w:rPr>
          <w:spacing w:val="-9"/>
        </w:rPr>
        <w:t> </w:t>
      </w:r>
      <w:r>
        <w:rPr/>
        <w:t>svěžesti,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Lada,</w:t>
      </w:r>
      <w:r>
        <w:rPr>
          <w:spacing w:val="-8"/>
        </w:rPr>
        <w:t> </w:t>
      </w:r>
      <w:r>
        <w:rPr/>
        <w:t>stále</w:t>
      </w:r>
      <w:r>
        <w:rPr>
          <w:spacing w:val="-9"/>
        </w:rPr>
        <w:t> </w:t>
      </w:r>
      <w:r>
        <w:rPr/>
        <w:t>robustní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pevná,</w:t>
      </w:r>
      <w:r>
        <w:rPr>
          <w:spacing w:val="-9"/>
        </w:rPr>
        <w:t> </w:t>
      </w:r>
      <w:r>
        <w:rPr/>
        <w:t>budou</w:t>
      </w:r>
      <w:r>
        <w:rPr>
          <w:spacing w:val="-8"/>
        </w:rPr>
        <w:t> </w:t>
      </w:r>
      <w:r>
        <w:rPr/>
        <w:t>i</w:t>
      </w:r>
      <w:r>
        <w:rPr>
          <w:spacing w:val="-10"/>
        </w:rPr>
        <w:t> </w:t>
      </w:r>
      <w:r>
        <w:rPr/>
        <w:t>nadále</w:t>
      </w:r>
      <w:r>
        <w:rPr>
          <w:spacing w:val="-8"/>
        </w:rPr>
        <w:t> </w:t>
      </w:r>
      <w:r>
        <w:rPr/>
        <w:t>nabízet</w:t>
      </w:r>
      <w:r>
        <w:rPr>
          <w:spacing w:val="-9"/>
        </w:rPr>
        <w:t> </w:t>
      </w:r>
      <w:r>
        <w:rPr/>
        <w:t>výrobky za přijatelné ceny založené na vyzkoušených technologiích a určené pro kupující hledající chytrý nákup, a to vše se směřováním do segmentu</w:t>
      </w:r>
      <w:r>
        <w:rPr>
          <w:spacing w:val="5"/>
        </w:rPr>
        <w:t> </w:t>
      </w:r>
      <w:r>
        <w:rPr/>
        <w:t>C.</w:t>
      </w:r>
    </w:p>
    <w:p>
      <w:pPr>
        <w:pStyle w:val="Heading1"/>
        <w:numPr>
          <w:ilvl w:val="0"/>
          <w:numId w:val="6"/>
        </w:numPr>
        <w:tabs>
          <w:tab w:pos="1493" w:val="left" w:leader="none"/>
        </w:tabs>
        <w:spacing w:line="240" w:lineRule="auto" w:before="119" w:after="0"/>
        <w:ind w:left="1492" w:right="0" w:hanging="361"/>
        <w:jc w:val="both"/>
      </w:pPr>
      <w:r>
        <w:rPr/>
        <w:t>Velmi efektivní ekonomické</w:t>
      </w:r>
      <w:r>
        <w:rPr>
          <w:spacing w:val="-1"/>
        </w:rPr>
        <w:t> </w:t>
      </w:r>
      <w:r>
        <w:rPr/>
        <w:t>modely:</w:t>
      </w:r>
    </w:p>
    <w:p>
      <w:pPr>
        <w:pStyle w:val="ListParagraph"/>
        <w:numPr>
          <w:ilvl w:val="1"/>
          <w:numId w:val="6"/>
        </w:numPr>
        <w:tabs>
          <w:tab w:pos="2213" w:val="left" w:leader="none"/>
        </w:tabs>
        <w:spacing w:line="240" w:lineRule="auto" w:before="17" w:after="0"/>
        <w:ind w:left="2213" w:right="0" w:hanging="361"/>
        <w:jc w:val="both"/>
        <w:rPr>
          <w:sz w:val="20"/>
        </w:rPr>
      </w:pPr>
      <w:r>
        <w:rPr>
          <w:sz w:val="20"/>
        </w:rPr>
        <w:t>Design-to-cost</w:t>
      </w:r>
    </w:p>
    <w:p>
      <w:pPr>
        <w:pStyle w:val="ListParagraph"/>
        <w:numPr>
          <w:ilvl w:val="1"/>
          <w:numId w:val="6"/>
        </w:numPr>
        <w:tabs>
          <w:tab w:pos="2213" w:val="left" w:leader="none"/>
        </w:tabs>
        <w:spacing w:line="240" w:lineRule="auto" w:before="0" w:after="0"/>
        <w:ind w:left="2213" w:right="116" w:hanging="361"/>
        <w:jc w:val="both"/>
        <w:rPr>
          <w:sz w:val="20"/>
        </w:rPr>
      </w:pPr>
      <w:r>
        <w:rPr>
          <w:sz w:val="20"/>
        </w:rPr>
        <w:t>Efektivnost: ze 4 platforem na 1; z 18 typů karosérií na 11, umožňující dosáhnout v průměru 1,1 m kusů na platformu oproti 0,3 m</w:t>
      </w:r>
      <w:r>
        <w:rPr>
          <w:spacing w:val="-2"/>
          <w:sz w:val="20"/>
        </w:rPr>
        <w:t> </w:t>
      </w:r>
      <w:r>
        <w:rPr>
          <w:sz w:val="20"/>
        </w:rPr>
        <w:t>kusů</w:t>
      </w:r>
    </w:p>
    <w:p>
      <w:pPr>
        <w:pStyle w:val="Heading1"/>
        <w:numPr>
          <w:ilvl w:val="0"/>
          <w:numId w:val="7"/>
        </w:numPr>
        <w:tabs>
          <w:tab w:pos="1493" w:val="left" w:leader="none"/>
        </w:tabs>
        <w:spacing w:line="264" w:lineRule="exact" w:before="0" w:after="0"/>
        <w:ind w:left="1492" w:right="0" w:hanging="361"/>
        <w:jc w:val="both"/>
      </w:pPr>
      <w:r>
        <w:rPr/>
        <w:t>Příchod nového konkurenceschopného sortimentu výrobků a vstup do segmentu</w:t>
      </w:r>
      <w:r>
        <w:rPr>
          <w:spacing w:val="2"/>
        </w:rPr>
        <w:t> </w:t>
      </w:r>
      <w:r>
        <w:rPr/>
        <w:t>C:</w:t>
      </w:r>
    </w:p>
    <w:p>
      <w:pPr>
        <w:pStyle w:val="ListParagraph"/>
        <w:numPr>
          <w:ilvl w:val="1"/>
          <w:numId w:val="7"/>
        </w:numPr>
        <w:tabs>
          <w:tab w:pos="2213" w:val="left" w:leader="none"/>
        </w:tabs>
        <w:spacing w:line="240" w:lineRule="auto" w:before="7" w:after="0"/>
        <w:ind w:left="2213" w:right="0" w:hanging="361"/>
        <w:jc w:val="both"/>
        <w:rPr>
          <w:sz w:val="20"/>
        </w:rPr>
      </w:pPr>
      <w:r>
        <w:rPr>
          <w:sz w:val="20"/>
        </w:rPr>
        <w:t>7 modelů uvedených na trh do roku 2025, z toho 2 v segmentu</w:t>
      </w:r>
      <w:r>
        <w:rPr>
          <w:spacing w:val="-1"/>
          <w:sz w:val="20"/>
        </w:rPr>
        <w:t> </w:t>
      </w:r>
      <w:r>
        <w:rPr>
          <w:sz w:val="20"/>
        </w:rPr>
        <w:t>C</w:t>
      </w:r>
    </w:p>
    <w:p>
      <w:pPr>
        <w:pStyle w:val="ListParagraph"/>
        <w:numPr>
          <w:ilvl w:val="1"/>
          <w:numId w:val="7"/>
        </w:numPr>
        <w:tabs>
          <w:tab w:pos="2213" w:val="left" w:leader="none"/>
        </w:tabs>
        <w:spacing w:line="240" w:lineRule="auto" w:before="0" w:after="0"/>
        <w:ind w:left="2213" w:right="0" w:hanging="361"/>
        <w:jc w:val="both"/>
        <w:rPr>
          <w:sz w:val="20"/>
        </w:rPr>
      </w:pPr>
      <w:r>
        <w:rPr>
          <w:sz w:val="20"/>
        </w:rPr>
        <w:t>Návrat emblematických</w:t>
      </w:r>
      <w:r>
        <w:rPr>
          <w:spacing w:val="-5"/>
          <w:sz w:val="20"/>
        </w:rPr>
        <w:t> </w:t>
      </w:r>
      <w:r>
        <w:rPr>
          <w:sz w:val="20"/>
        </w:rPr>
        <w:t>modelů</w:t>
      </w:r>
    </w:p>
    <w:p>
      <w:pPr>
        <w:pStyle w:val="ListParagraph"/>
        <w:numPr>
          <w:ilvl w:val="1"/>
          <w:numId w:val="7"/>
        </w:numPr>
        <w:tabs>
          <w:tab w:pos="2213" w:val="left" w:leader="none"/>
        </w:tabs>
        <w:spacing w:line="240" w:lineRule="auto" w:before="1" w:after="0"/>
        <w:ind w:left="2213" w:right="115" w:hanging="361"/>
        <w:jc w:val="both"/>
        <w:rPr>
          <w:sz w:val="20"/>
        </w:rPr>
      </w:pPr>
      <w:r>
        <w:rPr>
          <w:sz w:val="20"/>
        </w:rPr>
        <w:t>Účinnost CO2: využívání technologických aktiv skupiny (GPL pro obě značky, E-Tech pro Dacii)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772" w:firstLine="0"/>
        <w:jc w:val="left"/>
      </w:pPr>
      <w:r>
        <w:rPr/>
        <w:t>Alpine</w:t>
      </w:r>
    </w:p>
    <w:p>
      <w:pPr>
        <w:pStyle w:val="BodyText"/>
        <w:spacing w:line="264" w:lineRule="auto" w:before="138"/>
        <w:ind w:left="772" w:right="114"/>
        <w:jc w:val="both"/>
      </w:pPr>
      <w:r>
        <w:rPr/>
        <w:t>Značka Alpine spojí vozidla Alpine, Renault Sport Cars a Renault Sport Racing v rámci zcela samostatného nového subjektu, který se bude věnovat vývoji exkluzivních a inovativních sportovních vozidel.</w:t>
      </w:r>
    </w:p>
    <w:p>
      <w:pPr>
        <w:pStyle w:val="Heading1"/>
        <w:numPr>
          <w:ilvl w:val="0"/>
          <w:numId w:val="8"/>
        </w:numPr>
        <w:tabs>
          <w:tab w:pos="1493" w:val="left" w:leader="none"/>
        </w:tabs>
        <w:spacing w:line="225" w:lineRule="exact" w:before="0" w:after="0"/>
        <w:ind w:left="1492" w:right="0" w:hanging="361"/>
        <w:jc w:val="both"/>
      </w:pPr>
      <w:r>
        <w:rPr/>
        <w:t>Značka se 100 % elektrickým pohonem s plánem výrobků pro podporu</w:t>
      </w:r>
      <w:r>
        <w:rPr>
          <w:spacing w:val="-10"/>
        </w:rPr>
        <w:t> </w:t>
      </w:r>
      <w:r>
        <w:rPr/>
        <w:t>expanze:</w:t>
      </w:r>
    </w:p>
    <w:p>
      <w:pPr>
        <w:pStyle w:val="ListParagraph"/>
        <w:numPr>
          <w:ilvl w:val="1"/>
          <w:numId w:val="8"/>
        </w:numPr>
        <w:tabs>
          <w:tab w:pos="2213" w:val="left" w:leader="none"/>
        </w:tabs>
        <w:spacing w:line="252" w:lineRule="auto" w:before="17" w:after="0"/>
        <w:ind w:left="2213" w:right="111" w:hanging="361"/>
        <w:jc w:val="both"/>
        <w:rPr>
          <w:sz w:val="20"/>
        </w:rPr>
      </w:pPr>
      <w:r>
        <w:rPr>
          <w:sz w:val="20"/>
        </w:rPr>
        <w:t>bude využívat velikosti a kapacit skupiny Renault a Aliance díky platformám CMF-B a CMF- EV, světového průmyslového věhlasu, organizace Efektivní nákup, celosvětové prodejní sítě a finančních služeb RCI Bank and Services, které zajišťují optimální konkurenceschopnost  v oblasti</w:t>
      </w:r>
      <w:r>
        <w:rPr>
          <w:spacing w:val="-2"/>
          <w:sz w:val="20"/>
        </w:rPr>
        <w:t> </w:t>
      </w:r>
      <w:r>
        <w:rPr>
          <w:sz w:val="20"/>
        </w:rPr>
        <w:t>nákladů</w:t>
      </w:r>
    </w:p>
    <w:p>
      <w:pPr>
        <w:pStyle w:val="ListParagraph"/>
        <w:numPr>
          <w:ilvl w:val="1"/>
          <w:numId w:val="8"/>
        </w:numPr>
        <w:tabs>
          <w:tab w:pos="2213" w:val="left" w:leader="none"/>
        </w:tabs>
        <w:spacing w:line="240" w:lineRule="auto" w:before="9" w:after="0"/>
        <w:ind w:left="2213" w:right="120" w:hanging="361"/>
        <w:jc w:val="both"/>
        <w:rPr>
          <w:sz w:val="20"/>
        </w:rPr>
      </w:pPr>
      <w:r>
        <w:rPr>
          <w:sz w:val="20"/>
        </w:rPr>
        <w:t>v centru projektu se bude nacházet F1 prostřednictvím zcela prodloužených závazků v mistrovství</w:t>
      </w:r>
    </w:p>
    <w:p>
      <w:pPr>
        <w:pStyle w:val="ListParagraph"/>
        <w:numPr>
          <w:ilvl w:val="1"/>
          <w:numId w:val="8"/>
        </w:numPr>
        <w:tabs>
          <w:tab w:pos="2213" w:val="left" w:leader="none"/>
        </w:tabs>
        <w:spacing w:line="236" w:lineRule="exact" w:before="19" w:after="0"/>
        <w:ind w:left="2213" w:right="0" w:hanging="361"/>
        <w:jc w:val="both"/>
        <w:rPr>
          <w:sz w:val="20"/>
        </w:rPr>
      </w:pPr>
      <w:r>
        <w:rPr>
          <w:sz w:val="20"/>
        </w:rPr>
        <w:t>bude vyvíjet sportovní elektromobil nové generace s</w:t>
      </w:r>
      <w:r>
        <w:rPr>
          <w:spacing w:val="3"/>
          <w:sz w:val="20"/>
        </w:rPr>
        <w:t> </w:t>
      </w:r>
      <w:r>
        <w:rPr>
          <w:sz w:val="20"/>
        </w:rPr>
        <w:t>Lotusem.</w:t>
      </w:r>
    </w:p>
    <w:p>
      <w:pPr>
        <w:pStyle w:val="Heading1"/>
        <w:spacing w:line="248" w:lineRule="exact"/>
        <w:ind w:left="1132" w:firstLine="0"/>
      </w:pPr>
      <w:r>
        <w:rPr>
          <w:rFonts w:ascii="Calibri" w:hAnsi="Calibri"/>
          <w:b w:val="0"/>
          <w:sz w:val="18"/>
        </w:rPr>
        <w:t>- </w:t>
      </w:r>
      <w:r>
        <w:rPr/>
        <w:t>S cílem dosáhnout rentability v roce 2025 při započtení investic do automobilového sportu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772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b/>
          <w:sz w:val="20"/>
        </w:rPr>
        <w:t>Mobilize, </w:t>
      </w:r>
      <w:r>
        <w:rPr>
          <w:rFonts w:ascii="Arial-BoldItalicMT" w:hAnsi="Arial-BoldItalicMT"/>
          <w:b/>
          <w:i/>
          <w:sz w:val="20"/>
        </w:rPr>
        <w:t>Nad rámec automobilů</w:t>
      </w:r>
    </w:p>
    <w:p>
      <w:pPr>
        <w:pStyle w:val="BodyText"/>
        <w:spacing w:line="259" w:lineRule="auto" w:before="78"/>
        <w:ind w:left="772" w:right="116"/>
        <w:jc w:val="both"/>
      </w:pPr>
      <w:r>
        <w:rPr/>
        <w:t>Cílem tohoto nového obchodního subjektu je vyvíjet nové zdroje zisku pocházející ze služeb zaměřených na údaje, mobilitu a energii určených pro uživatele vozidel a vytvářet více než 20 % příjmů skupiny v roce 2030. Mobilize</w:t>
      </w:r>
      <w:r>
        <w:rPr>
          <w:spacing w:val="-5"/>
        </w:rPr>
        <w:t> </w:t>
      </w:r>
      <w:r>
        <w:rPr/>
        <w:t>umožní</w:t>
      </w:r>
      <w:r>
        <w:rPr>
          <w:spacing w:val="-5"/>
        </w:rPr>
        <w:t> </w:t>
      </w:r>
      <w:r>
        <w:rPr/>
        <w:t>skupině</w:t>
      </w:r>
      <w:r>
        <w:rPr>
          <w:spacing w:val="-3"/>
        </w:rPr>
        <w:t> </w:t>
      </w:r>
      <w:r>
        <w:rPr/>
        <w:t>Renault</w:t>
      </w:r>
      <w:r>
        <w:rPr>
          <w:spacing w:val="-4"/>
        </w:rPr>
        <w:t> </w:t>
      </w:r>
      <w:r>
        <w:rPr/>
        <w:t>získat</w:t>
      </w:r>
      <w:r>
        <w:rPr>
          <w:spacing w:val="-5"/>
        </w:rPr>
        <w:t> </w:t>
      </w:r>
      <w:r>
        <w:rPr/>
        <w:t>rychleji</w:t>
      </w:r>
      <w:r>
        <w:rPr>
          <w:spacing w:val="-7"/>
        </w:rPr>
        <w:t> </w:t>
      </w:r>
      <w:r>
        <w:rPr/>
        <w:t>postavení</w:t>
      </w:r>
      <w:r>
        <w:rPr>
          <w:spacing w:val="-5"/>
        </w:rPr>
        <w:t> </w:t>
      </w:r>
      <w:r>
        <w:rPr/>
        <w:t>v novém</w:t>
      </w:r>
      <w:r>
        <w:rPr>
          <w:spacing w:val="-4"/>
        </w:rPr>
        <w:t> </w:t>
      </w:r>
      <w:r>
        <w:rPr/>
        <w:t>světě</w:t>
      </w:r>
      <w:r>
        <w:rPr>
          <w:spacing w:val="-4"/>
        </w:rPr>
        <w:t> </w:t>
      </w:r>
      <w:r>
        <w:rPr/>
        <w:t>mobility</w:t>
      </w:r>
      <w:r>
        <w:rPr>
          <w:spacing w:val="-6"/>
        </w:rPr>
        <w:t> </w:t>
      </w:r>
      <w:r>
        <w:rPr/>
        <w:t>tím,</w:t>
      </w:r>
      <w:r>
        <w:rPr>
          <w:spacing w:val="-5"/>
        </w:rPr>
        <w:t> </w:t>
      </w:r>
      <w:r>
        <w:rPr/>
        <w:t>že</w:t>
      </w:r>
      <w:r>
        <w:rPr>
          <w:spacing w:val="-4"/>
        </w:rPr>
        <w:t> </w:t>
      </w:r>
      <w:r>
        <w:rPr/>
        <w:t>bude</w:t>
      </w:r>
      <w:r>
        <w:rPr>
          <w:spacing w:val="-5"/>
        </w:rPr>
        <w:t> </w:t>
      </w:r>
      <w:r>
        <w:rPr/>
        <w:t>nabízet</w:t>
      </w:r>
      <w:r>
        <w:rPr>
          <w:spacing w:val="-5"/>
        </w:rPr>
        <w:t> </w:t>
      </w:r>
      <w:r>
        <w:rPr/>
        <w:t>řešení a služby ostatním značkám a externím</w:t>
      </w:r>
      <w:r>
        <w:rPr>
          <w:spacing w:val="-1"/>
        </w:rPr>
        <w:t> </w:t>
      </w:r>
      <w:r>
        <w:rPr/>
        <w:t>partnerům.</w:t>
      </w:r>
    </w:p>
    <w:p>
      <w:pPr>
        <w:pStyle w:val="Heading1"/>
        <w:numPr>
          <w:ilvl w:val="0"/>
          <w:numId w:val="9"/>
        </w:numPr>
        <w:tabs>
          <w:tab w:pos="1493" w:val="left" w:leader="none"/>
        </w:tabs>
        <w:spacing w:line="240" w:lineRule="auto" w:before="11" w:after="0"/>
        <w:ind w:left="1492" w:right="0" w:hanging="361"/>
        <w:jc w:val="both"/>
      </w:pPr>
      <w:r>
        <w:rPr/>
        <w:t>Tři úkoly:</w:t>
      </w:r>
    </w:p>
    <w:p>
      <w:pPr>
        <w:pStyle w:val="ListParagraph"/>
        <w:numPr>
          <w:ilvl w:val="1"/>
          <w:numId w:val="9"/>
        </w:numPr>
        <w:tabs>
          <w:tab w:pos="2212" w:val="left" w:leader="none"/>
          <w:tab w:pos="2213" w:val="left" w:leader="none"/>
        </w:tabs>
        <w:spacing w:line="240" w:lineRule="auto" w:before="18" w:after="0"/>
        <w:ind w:left="2213" w:right="0" w:hanging="361"/>
        <w:jc w:val="left"/>
        <w:rPr>
          <w:sz w:val="20"/>
        </w:rPr>
      </w:pPr>
      <w:r>
        <w:rPr>
          <w:sz w:val="20"/>
        </w:rPr>
        <w:t>Prodloužit dobu užívání vozidel (90 % času se</w:t>
      </w:r>
      <w:r>
        <w:rPr>
          <w:spacing w:val="-7"/>
          <w:sz w:val="20"/>
        </w:rPr>
        <w:t> </w:t>
      </w:r>
      <w:r>
        <w:rPr>
          <w:sz w:val="20"/>
        </w:rPr>
        <w:t>nevyužívají)</w:t>
      </w:r>
    </w:p>
    <w:p>
      <w:pPr>
        <w:pStyle w:val="ListParagraph"/>
        <w:numPr>
          <w:ilvl w:val="1"/>
          <w:numId w:val="9"/>
        </w:numPr>
        <w:tabs>
          <w:tab w:pos="2212" w:val="left" w:leader="none"/>
          <w:tab w:pos="2213" w:val="left" w:leader="none"/>
        </w:tabs>
        <w:spacing w:line="240" w:lineRule="auto" w:before="4" w:after="0"/>
        <w:ind w:left="2213" w:right="0" w:hanging="361"/>
        <w:jc w:val="left"/>
        <w:rPr>
          <w:sz w:val="20"/>
        </w:rPr>
      </w:pPr>
      <w:r>
        <w:rPr>
          <w:sz w:val="20"/>
        </w:rPr>
        <w:t>Lepší management zůstatkové</w:t>
      </w:r>
      <w:r>
        <w:rPr>
          <w:spacing w:val="-1"/>
          <w:sz w:val="20"/>
        </w:rPr>
        <w:t> </w:t>
      </w:r>
      <w:r>
        <w:rPr>
          <w:sz w:val="20"/>
        </w:rPr>
        <w:t>hodnoty</w:t>
      </w:r>
    </w:p>
    <w:p>
      <w:pPr>
        <w:pStyle w:val="ListParagraph"/>
        <w:numPr>
          <w:ilvl w:val="1"/>
          <w:numId w:val="9"/>
        </w:numPr>
        <w:tabs>
          <w:tab w:pos="2212" w:val="left" w:leader="none"/>
          <w:tab w:pos="2213" w:val="left" w:leader="none"/>
        </w:tabs>
        <w:spacing w:line="240" w:lineRule="auto" w:before="0" w:after="0"/>
        <w:ind w:left="2213" w:right="0" w:hanging="361"/>
        <w:jc w:val="left"/>
        <w:rPr>
          <w:sz w:val="20"/>
        </w:rPr>
      </w:pPr>
      <w:r>
        <w:rPr>
          <w:sz w:val="20"/>
        </w:rPr>
        <w:t>Ambice na uhlíkovou</w:t>
      </w:r>
      <w:r>
        <w:rPr>
          <w:spacing w:val="2"/>
          <w:sz w:val="20"/>
        </w:rPr>
        <w:t> </w:t>
      </w:r>
      <w:r>
        <w:rPr>
          <w:sz w:val="20"/>
        </w:rPr>
        <w:t>neutralitu</w:t>
      </w:r>
    </w:p>
    <w:p>
      <w:pPr>
        <w:pStyle w:val="Heading1"/>
        <w:numPr>
          <w:ilvl w:val="0"/>
          <w:numId w:val="9"/>
        </w:numPr>
        <w:tabs>
          <w:tab w:pos="1492" w:val="left" w:leader="none"/>
          <w:tab w:pos="1493" w:val="left" w:leader="none"/>
        </w:tabs>
        <w:spacing w:line="240" w:lineRule="auto" w:before="13" w:after="0"/>
        <w:ind w:left="1492" w:right="0" w:hanging="361"/>
        <w:jc w:val="left"/>
      </w:pPr>
      <w:r>
        <w:rPr/>
        <w:t>Jedinečná, dostupná a užitečná</w:t>
      </w:r>
      <w:r>
        <w:rPr>
          <w:spacing w:val="-7"/>
        </w:rPr>
        <w:t> </w:t>
      </w:r>
      <w:r>
        <w:rPr/>
        <w:t>nabídka:</w:t>
      </w:r>
    </w:p>
    <w:p>
      <w:pPr>
        <w:pStyle w:val="BodyText"/>
        <w:tabs>
          <w:tab w:pos="2212" w:val="left" w:leader="none"/>
        </w:tabs>
        <w:spacing w:before="18"/>
        <w:ind w:left="1852"/>
      </w:pPr>
      <w:r>
        <w:rPr>
          <w:rFonts w:ascii="Courier New" w:hAnsi="Courier New"/>
        </w:rPr>
        <w:t>o</w:t>
        <w:tab/>
      </w:r>
      <w:r>
        <w:rPr/>
        <w:t>4 uzpůsobená vozidla, dvě pro samostatné sdílení, jedno pro službu s řidičem a jedno</w:t>
      </w:r>
      <w:r>
        <w:rPr>
          <w:spacing w:val="13"/>
        </w:rPr>
        <w:t> </w:t>
      </w:r>
      <w:r>
        <w:rPr>
          <w:spacing w:val="-3"/>
        </w:rPr>
        <w:t>pro</w:t>
      </w:r>
    </w:p>
    <w:p>
      <w:pPr>
        <w:pStyle w:val="BodyText"/>
        <w:ind w:left="2213"/>
      </w:pPr>
      <w:r>
        <w:rPr/>
        <w:t>„dodání na stanovenou adresu“</w:t>
      </w:r>
    </w:p>
    <w:p>
      <w:pPr>
        <w:pStyle w:val="ListParagraph"/>
        <w:numPr>
          <w:ilvl w:val="1"/>
          <w:numId w:val="9"/>
        </w:numPr>
        <w:tabs>
          <w:tab w:pos="2212" w:val="left" w:leader="none"/>
          <w:tab w:pos="2213" w:val="left" w:leader="none"/>
        </w:tabs>
        <w:spacing w:line="240" w:lineRule="auto" w:before="18" w:after="0"/>
        <w:ind w:left="2213" w:right="0" w:hanging="361"/>
        <w:jc w:val="left"/>
        <w:rPr>
          <w:sz w:val="20"/>
        </w:rPr>
      </w:pPr>
      <w:r>
        <w:rPr>
          <w:sz w:val="20"/>
        </w:rPr>
        <w:t>Inovativní řešení financování (předplatné, leasing, pay-as-you-go)</w:t>
      </w:r>
    </w:p>
    <w:p>
      <w:pPr>
        <w:pStyle w:val="ListParagraph"/>
        <w:numPr>
          <w:ilvl w:val="1"/>
          <w:numId w:val="9"/>
        </w:numPr>
        <w:tabs>
          <w:tab w:pos="2212" w:val="left" w:leader="none"/>
          <w:tab w:pos="2213" w:val="left" w:leader="none"/>
        </w:tabs>
        <w:spacing w:line="240" w:lineRule="auto" w:before="1" w:after="0"/>
        <w:ind w:left="2213" w:right="0" w:hanging="361"/>
        <w:jc w:val="left"/>
        <w:rPr>
          <w:sz w:val="20"/>
        </w:rPr>
      </w:pPr>
      <w:r>
        <w:rPr>
          <w:sz w:val="20"/>
        </w:rPr>
        <w:t>Platforma určená pro údaje, služby a počítačové</w:t>
      </w:r>
      <w:r>
        <w:rPr>
          <w:spacing w:val="-8"/>
          <w:sz w:val="20"/>
        </w:rPr>
        <w:t> </w:t>
      </w:r>
      <w:r>
        <w:rPr>
          <w:sz w:val="20"/>
        </w:rPr>
        <w:t>programy</w:t>
      </w:r>
    </w:p>
    <w:p>
      <w:pPr>
        <w:pStyle w:val="ListParagraph"/>
        <w:numPr>
          <w:ilvl w:val="1"/>
          <w:numId w:val="9"/>
        </w:numPr>
        <w:tabs>
          <w:tab w:pos="2212" w:val="left" w:leader="none"/>
          <w:tab w:pos="2213" w:val="left" w:leader="none"/>
        </w:tabs>
        <w:spacing w:line="240" w:lineRule="auto" w:before="0" w:after="0"/>
        <w:ind w:left="2213" w:right="0" w:hanging="361"/>
        <w:jc w:val="left"/>
        <w:rPr>
          <w:sz w:val="20"/>
        </w:rPr>
      </w:pPr>
      <w:r>
        <w:rPr>
          <w:sz w:val="20"/>
        </w:rPr>
        <w:t>Nové služby v oblasti údržby a obnovy</w:t>
      </w:r>
      <w:r>
        <w:rPr>
          <w:spacing w:val="-6"/>
          <w:sz w:val="20"/>
        </w:rPr>
        <w:t> </w:t>
      </w:r>
      <w:r>
        <w:rPr>
          <w:sz w:val="20"/>
        </w:rPr>
        <w:t>(Re-Factory)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5472" w:right="4817"/>
        <w:jc w:val="center"/>
      </w:pPr>
      <w:r>
        <w:rPr/>
        <w:t>---</w:t>
      </w:r>
    </w:p>
    <w:p>
      <w:pPr>
        <w:spacing w:after="0"/>
        <w:jc w:val="center"/>
        <w:sectPr>
          <w:pgSz w:w="11910" w:h="16840"/>
          <w:pgMar w:top="1580" w:bottom="280" w:left="360" w:right="10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left="772"/>
      </w:pPr>
      <w:r>
        <w:rPr/>
        <w:t>Tento plán bude představen orgánům zastupujícím zaměstnance podle platných předpisů.</w:t>
      </w:r>
    </w:p>
    <w:p>
      <w:pPr>
        <w:pStyle w:val="BodyText"/>
        <w:spacing w:before="10"/>
        <w:rPr>
          <w:sz w:val="21"/>
        </w:rPr>
      </w:pPr>
    </w:p>
    <w:p>
      <w:pPr>
        <w:spacing w:line="237" w:lineRule="auto" w:before="1"/>
        <w:ind w:left="772" w:right="0" w:firstLine="0"/>
        <w:jc w:val="left"/>
        <w:rPr>
          <w:i/>
          <w:sz w:val="20"/>
        </w:rPr>
      </w:pPr>
      <w:r>
        <w:rPr>
          <w:i/>
          <w:sz w:val="20"/>
        </w:rPr>
        <w:t>Prezentace je dostupná na webu </w:t>
      </w:r>
      <w:hyperlink r:id="rId6">
        <w:r>
          <w:rPr>
            <w:i/>
            <w:color w:val="0000FF"/>
            <w:sz w:val="20"/>
            <w:u w:val="single" w:color="0000FF"/>
          </w:rPr>
          <w:t>www.groupe.renault.com</w:t>
        </w:r>
      </w:hyperlink>
      <w:r>
        <w:rPr>
          <w:i/>
          <w:sz w:val="20"/>
        </w:rPr>
        <w:t>. Více informací naleznete na příslušném webu renaulution.com.</w:t>
      </w:r>
    </w:p>
    <w:p>
      <w:pPr>
        <w:pStyle w:val="BodyText"/>
        <w:rPr>
          <w:i/>
        </w:rPr>
      </w:pPr>
    </w:p>
    <w:p>
      <w:pPr>
        <w:spacing w:after="0"/>
        <w:sectPr>
          <w:pgSz w:w="11910" w:h="16840"/>
          <w:pgMar w:top="1580" w:bottom="280" w:left="360" w:right="1020"/>
        </w:sect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772" w:right="0" w:firstLine="0"/>
        <w:jc w:val="left"/>
        <w:rPr>
          <w:b/>
          <w:sz w:val="18"/>
        </w:rPr>
      </w:pPr>
      <w:r>
        <w:rPr>
          <w:b/>
          <w:sz w:val="18"/>
        </w:rPr>
        <w:t>O skupině Renault</w:t>
      </w:r>
    </w:p>
    <w:p>
      <w:pPr>
        <w:pStyle w:val="BodyText"/>
        <w:spacing w:before="3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772"/>
      </w:pPr>
      <w:r>
        <w:rPr/>
        <w:t>---</w:t>
      </w:r>
    </w:p>
    <w:p>
      <w:pPr>
        <w:spacing w:after="0"/>
        <w:sectPr>
          <w:type w:val="continuous"/>
          <w:pgSz w:w="11910" w:h="16840"/>
          <w:pgMar w:top="440" w:bottom="280" w:left="360" w:right="1020"/>
          <w:cols w:num="2" w:equalWidth="0">
            <w:col w:w="2396" w:space="2321"/>
            <w:col w:w="5813"/>
          </w:cols>
        </w:sectPr>
      </w:pPr>
    </w:p>
    <w:p>
      <w:pPr>
        <w:spacing w:before="29"/>
        <w:ind w:left="772" w:right="0" w:firstLine="0"/>
        <w:jc w:val="both"/>
        <w:rPr>
          <w:sz w:val="18"/>
        </w:rPr>
      </w:pPr>
      <w:r>
        <w:rPr>
          <w:sz w:val="18"/>
        </w:rPr>
        <w:t>Skupina Renault je předsunutou hlídkou mobility, která se znovu vytváří.</w:t>
      </w:r>
    </w:p>
    <w:p>
      <w:pPr>
        <w:spacing w:line="240" w:lineRule="auto" w:before="1"/>
        <w:ind w:left="772" w:right="111" w:firstLine="0"/>
        <w:jc w:val="both"/>
        <w:rPr>
          <w:sz w:val="18"/>
        </w:rPr>
      </w:pPr>
      <w:r>
        <w:rPr>
          <w:sz w:val="18"/>
        </w:rPr>
        <w:t>Skupina Renault, která je silná díky své alianci s Nissanem a Mitsubishi Motors a své jedinečné zkušenosti v oblasti elektrifikace, se opírá o komplementárnost svých 5 značek - Renault – Dacia – LADA- Alpine a Mobilize – a nabízí svým zákazníkům trvale udržitelná a inovativní řešení. Působí ve více než 130 zemích, má více než 180 000 zaměstnanců a   v roce 2020 prodala 2,9 milionu</w:t>
      </w:r>
      <w:r>
        <w:rPr>
          <w:spacing w:val="-7"/>
          <w:sz w:val="18"/>
        </w:rPr>
        <w:t> </w:t>
      </w:r>
      <w:r>
        <w:rPr>
          <w:sz w:val="18"/>
        </w:rPr>
        <w:t>vozidel</w:t>
      </w:r>
    </w:p>
    <w:p>
      <w:pPr>
        <w:spacing w:line="240" w:lineRule="auto" w:before="0"/>
        <w:ind w:left="772" w:right="111" w:firstLine="0"/>
        <w:jc w:val="both"/>
        <w:rPr>
          <w:sz w:val="18"/>
        </w:rPr>
      </w:pPr>
      <w:r>
        <w:rPr>
          <w:sz w:val="18"/>
        </w:rPr>
        <w:t>Skupina, která je připravena čelit výzvám na silnicích i na závodech, vstoupila do ambiciózní transformace vytvářející hodnoty. Tato transformace je zaměřena na vývoj nových technologií a služeb, nového sortimentu ještě více konkurenceschopných, vyvážených a elektrifikovaných vozidel. Skupina Renault je v souladu s požadavky na ochranu životního prostředí a má ambici dosáhnout v roce 2050 uhlíkové neutrality.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72" w:right="0" w:firstLine="0"/>
        <w:jc w:val="left"/>
        <w:rPr>
          <w:b/>
          <w:sz w:val="18"/>
        </w:rPr>
      </w:pPr>
      <w:r>
        <w:rPr>
          <w:b/>
          <w:sz w:val="18"/>
        </w:rPr>
        <w:t>Kontakt</w:t>
      </w:r>
    </w:p>
    <w:p>
      <w:pPr>
        <w:spacing w:before="1"/>
        <w:ind w:left="772" w:right="0" w:firstLine="0"/>
        <w:jc w:val="left"/>
        <w:rPr>
          <w:sz w:val="18"/>
        </w:rPr>
      </w:pPr>
      <w:r>
        <w:rPr>
          <w:sz w:val="18"/>
        </w:rPr>
        <w:t>Jitka Skaličková, Renault Česká republika, a.s., </w:t>
      </w:r>
      <w:hyperlink r:id="rId7">
        <w:r>
          <w:rPr>
            <w:color w:val="0000FF"/>
            <w:sz w:val="18"/>
            <w:u w:val="single" w:color="0000FF"/>
          </w:rPr>
          <w:t>jitka.skalickova@renault.cz</w:t>
        </w:r>
        <w:r>
          <w:rPr>
            <w:sz w:val="18"/>
          </w:rPr>
          <w:t>, </w:t>
        </w:r>
      </w:hyperlink>
      <w:r>
        <w:rPr>
          <w:sz w:val="18"/>
        </w:rPr>
        <w:t>tel.: +420602275168</w:t>
      </w:r>
    </w:p>
    <w:sectPr>
      <w:type w:val="continuous"/>
      <w:pgSz w:w="11910" w:h="16840"/>
      <w:pgMar w:top="440" w:bottom="280" w:left="3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1492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o"/>
      <w:lvlJc w:val="left"/>
      <w:pPr>
        <w:ind w:left="221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4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66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89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81" w:hanging="361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492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o"/>
      <w:lvlJc w:val="left"/>
      <w:pPr>
        <w:ind w:left="221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4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66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89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81" w:hanging="361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92" w:hanging="360"/>
      </w:pPr>
      <w:rPr>
        <w:rFonts w:hint="default" w:ascii="Calibri" w:hAnsi="Calibri" w:eastAsia="Calibri" w:cs="Calibri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o"/>
      <w:lvlJc w:val="left"/>
      <w:pPr>
        <w:ind w:left="221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4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66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89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81" w:hanging="361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492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o"/>
      <w:lvlJc w:val="left"/>
      <w:pPr>
        <w:ind w:left="221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4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66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89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81" w:hanging="361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492" w:hanging="360"/>
      </w:pPr>
      <w:rPr>
        <w:rFonts w:hint="default" w:ascii="Calibri" w:hAnsi="Calibri" w:eastAsia="Calibri" w:cs="Calibri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40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3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11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19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22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492" w:hanging="360"/>
      </w:pPr>
      <w:rPr>
        <w:rFonts w:hint="default" w:ascii="Calibri" w:hAnsi="Calibri" w:eastAsia="Calibri" w:cs="Calibri"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o"/>
      <w:lvlJc w:val="left"/>
      <w:pPr>
        <w:ind w:left="221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4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66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89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81" w:hanging="361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32" w:hanging="356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cs-CZ" w:eastAsia="en-US" w:bidi="ar-SA"/>
      </w:rPr>
    </w:lvl>
    <w:lvl w:ilvl="1">
      <w:start w:val="0"/>
      <w:numFmt w:val="bullet"/>
      <w:lvlText w:val="-"/>
      <w:lvlJc w:val="left"/>
      <w:pPr>
        <w:ind w:left="1492" w:hanging="356"/>
      </w:pPr>
      <w:rPr>
        <w:rFonts w:hint="default" w:ascii="Calibri" w:hAnsi="Calibri" w:eastAsia="Calibri" w:cs="Calibri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o"/>
      <w:lvlJc w:val="left"/>
      <w:pPr>
        <w:ind w:left="2213" w:hanging="357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8" w:hanging="35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97" w:hanging="35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35" w:hanging="35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374" w:hanging="35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12" w:hanging="35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51" w:hanging="357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92" w:hanging="120"/>
        <w:jc w:val="left"/>
      </w:pPr>
      <w:rPr>
        <w:rFonts w:hint="default"/>
        <w:i/>
        <w:w w:val="99"/>
        <w:position w:val="6"/>
        <w:lang w:val="cs-CZ" w:eastAsia="en-US" w:bidi="ar-SA"/>
      </w:rPr>
    </w:lvl>
    <w:lvl w:ilvl="1">
      <w:start w:val="0"/>
      <w:numFmt w:val="bullet"/>
      <w:lvlText w:val="o"/>
      <w:lvlJc w:val="left"/>
      <w:pPr>
        <w:ind w:left="2213" w:hanging="361"/>
      </w:pPr>
      <w:rPr>
        <w:rFonts w:hint="default" w:ascii="Courier New" w:hAnsi="Courier New" w:eastAsia="Courier New" w:cs="Courier New"/>
        <w:w w:val="100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43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066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89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12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81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52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72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593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32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19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706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2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94" w:hanging="360"/>
      </w:pPr>
      <w:rPr>
        <w:rFonts w:hint="default"/>
        <w:lang w:val="cs-CZ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92" w:hanging="361"/>
      <w:jc w:val="both"/>
      <w:outlineLvl w:val="1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3973" w:right="1066" w:hanging="2246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2213" w:hanging="361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roupe.renault.com/" TargetMode="External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a194557</dc:creator>
  <dcterms:created xsi:type="dcterms:W3CDTF">2021-01-14T15:33:32Z</dcterms:created>
  <dcterms:modified xsi:type="dcterms:W3CDTF">2021-01-14T15:33:32Z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2021-01-14T00:00:00Z</vt:filetime>
  </property>
</Properties>
</file>