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Default Extension="png" ContentType="image/png"/>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28pt;margin-top:35.850021pt;width:539pt;height:762.85pt;mso-position-horizontal-relative:page;mso-position-vertical-relative:page;z-index:-251958272" coordorigin="560,717" coordsize="10780,15257">
            <v:shape style="position:absolute;left:560;top:717;width:10780;height:15257" type="#_x0000_t75" stroked="false">
              <v:imagedata r:id="rId5" o:title=""/>
            </v:shape>
            <v:rect style="position:absolute;left:968;top:7387;width:9972;height:1902" filled="true" fillcolor="#ffcc33" stroked="false">
              <v:fill type="solid"/>
            </v:rect>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rPr>
      </w:pPr>
    </w:p>
    <w:p>
      <w:pPr>
        <w:spacing w:before="89"/>
        <w:ind w:left="1251" w:right="0" w:firstLine="0"/>
        <w:jc w:val="left"/>
        <w:rPr>
          <w:sz w:val="32"/>
        </w:rPr>
      </w:pPr>
      <w:r>
        <w:rPr>
          <w:color w:val="FFFFFF"/>
          <w:sz w:val="32"/>
        </w:rPr>
        <w:t>Renault a kinematografie – společná historie</w:t>
      </w:r>
    </w:p>
    <w:p>
      <w:pPr>
        <w:spacing w:before="95"/>
        <w:ind w:left="140" w:right="0" w:firstLine="0"/>
        <w:jc w:val="left"/>
        <w:rPr>
          <w:sz w:val="22"/>
        </w:rPr>
      </w:pPr>
      <w:r>
        <w:rPr>
          <w:color w:val="FFFFFF"/>
          <w:sz w:val="22"/>
        </w:rPr>
        <w:t>Tisková zpráva</w:t>
      </w:r>
    </w:p>
    <w:p>
      <w:pPr>
        <w:pStyle w:val="ListParagraph"/>
        <w:numPr>
          <w:ilvl w:val="0"/>
          <w:numId w:val="1"/>
        </w:numPr>
        <w:tabs>
          <w:tab w:pos="510" w:val="left" w:leader="none"/>
        </w:tabs>
        <w:spacing w:line="240" w:lineRule="auto" w:before="95" w:after="0"/>
        <w:ind w:left="509" w:right="0" w:hanging="370"/>
        <w:jc w:val="left"/>
        <w:rPr>
          <w:sz w:val="22"/>
        </w:rPr>
      </w:pPr>
      <w:r>
        <w:rPr>
          <w:color w:val="FFFFFF"/>
          <w:sz w:val="22"/>
        </w:rPr>
        <w:t>května</w:t>
      </w:r>
      <w:r>
        <w:rPr>
          <w:color w:val="FFFFFF"/>
          <w:spacing w:val="-3"/>
          <w:sz w:val="22"/>
        </w:rPr>
        <w:t> </w:t>
      </w:r>
      <w:r>
        <w:rPr>
          <w:color w:val="FFFFFF"/>
          <w:sz w:val="22"/>
        </w:rPr>
        <w:t>2020</w:t>
      </w:r>
    </w:p>
    <w:p>
      <w:pPr>
        <w:spacing w:after="0" w:line="240" w:lineRule="auto"/>
        <w:jc w:val="left"/>
        <w:rPr>
          <w:sz w:val="22"/>
        </w:rPr>
        <w:sectPr>
          <w:type w:val="continuous"/>
          <w:pgSz w:w="11900" w:h="16820"/>
          <w:pgMar w:top="1580" w:bottom="280" w:left="1540" w:right="740"/>
        </w:sectPr>
      </w:pPr>
    </w:p>
    <w:p>
      <w:pPr>
        <w:pStyle w:val="BodyText"/>
        <w:spacing w:before="10"/>
        <w:rPr>
          <w:sz w:val="21"/>
        </w:rPr>
      </w:pPr>
    </w:p>
    <w:p>
      <w:pPr>
        <w:pStyle w:val="BodyText"/>
        <w:ind w:left="106"/>
        <w:rPr>
          <w:sz w:val="20"/>
        </w:rPr>
      </w:pPr>
      <w:r>
        <w:rPr>
          <w:sz w:val="20"/>
        </w:rPr>
        <w:drawing>
          <wp:inline distT="0" distB="0" distL="0" distR="0">
            <wp:extent cx="5282564" cy="4832985"/>
            <wp:effectExtent l="0" t="0" r="0" b="0"/>
            <wp:docPr id="1" name="image2.jpeg"/>
            <wp:cNvGraphicFramePr>
              <a:graphicFrameLocks noChangeAspect="1"/>
            </wp:cNvGraphicFramePr>
            <a:graphic>
              <a:graphicData uri="http://schemas.openxmlformats.org/drawingml/2006/picture">
                <pic:pic>
                  <pic:nvPicPr>
                    <pic:cNvPr id="2" name="image2.jpeg"/>
                    <pic:cNvPicPr/>
                  </pic:nvPicPr>
                  <pic:blipFill>
                    <a:blip r:embed="rId7" cstate="print"/>
                    <a:stretch>
                      <a:fillRect/>
                    </a:stretch>
                  </pic:blipFill>
                  <pic:spPr>
                    <a:xfrm>
                      <a:off x="0" y="0"/>
                      <a:ext cx="5282564" cy="4832985"/>
                    </a:xfrm>
                    <a:prstGeom prst="rect">
                      <a:avLst/>
                    </a:prstGeom>
                  </pic:spPr>
                </pic:pic>
              </a:graphicData>
            </a:graphic>
          </wp:inline>
        </w:drawing>
      </w:r>
      <w:r>
        <w:rPr>
          <w:sz w:val="20"/>
        </w:rPr>
      </w:r>
    </w:p>
    <w:p>
      <w:pPr>
        <w:pStyle w:val="BodyText"/>
        <w:rPr>
          <w:sz w:val="20"/>
        </w:rPr>
      </w:pPr>
    </w:p>
    <w:p>
      <w:pPr>
        <w:pStyle w:val="BodyText"/>
        <w:spacing w:before="9"/>
        <w:rPr>
          <w:sz w:val="21"/>
        </w:rPr>
      </w:pPr>
    </w:p>
    <w:p>
      <w:pPr>
        <w:pStyle w:val="Heading1"/>
        <w:numPr>
          <w:ilvl w:val="1"/>
          <w:numId w:val="1"/>
        </w:numPr>
        <w:tabs>
          <w:tab w:pos="1059" w:val="left" w:leader="none"/>
          <w:tab w:pos="1060" w:val="left" w:leader="none"/>
        </w:tabs>
        <w:spacing w:line="240" w:lineRule="auto" w:before="115" w:after="0"/>
        <w:ind w:left="1059" w:right="0" w:hanging="361"/>
        <w:jc w:val="left"/>
      </w:pPr>
      <w:r>
        <w:rPr/>
        <w:t>120 let společné historie Renaultu a</w:t>
      </w:r>
      <w:r>
        <w:rPr>
          <w:spacing w:val="-1"/>
        </w:rPr>
        <w:t> </w:t>
      </w:r>
      <w:r>
        <w:rPr/>
        <w:t>filmu</w:t>
      </w:r>
    </w:p>
    <w:p>
      <w:pPr>
        <w:pStyle w:val="ListParagraph"/>
        <w:numPr>
          <w:ilvl w:val="1"/>
          <w:numId w:val="1"/>
        </w:numPr>
        <w:tabs>
          <w:tab w:pos="1059" w:val="left" w:leader="none"/>
          <w:tab w:pos="1060" w:val="left" w:leader="none"/>
        </w:tabs>
        <w:spacing w:line="276" w:lineRule="auto" w:before="172" w:after="0"/>
        <w:ind w:left="1059" w:right="3126" w:hanging="360"/>
        <w:jc w:val="left"/>
        <w:rPr>
          <w:b/>
          <w:sz w:val="22"/>
        </w:rPr>
      </w:pPr>
      <w:r>
        <w:rPr>
          <w:b/>
          <w:sz w:val="22"/>
        </w:rPr>
        <w:t>40 automobilů Renault je každoročně využíváno pro 200 filmových</w:t>
      </w:r>
      <w:r>
        <w:rPr>
          <w:b/>
          <w:spacing w:val="-1"/>
          <w:sz w:val="22"/>
        </w:rPr>
        <w:t> </w:t>
      </w:r>
      <w:r>
        <w:rPr>
          <w:b/>
          <w:sz w:val="22"/>
        </w:rPr>
        <w:t>produkcí</w:t>
      </w:r>
    </w:p>
    <w:p>
      <w:pPr>
        <w:pStyle w:val="ListParagraph"/>
        <w:numPr>
          <w:ilvl w:val="1"/>
          <w:numId w:val="1"/>
        </w:numPr>
        <w:tabs>
          <w:tab w:pos="1059" w:val="left" w:leader="none"/>
          <w:tab w:pos="1060" w:val="left" w:leader="none"/>
        </w:tabs>
        <w:spacing w:line="240" w:lineRule="auto" w:before="136" w:after="0"/>
        <w:ind w:left="1059" w:right="0" w:hanging="361"/>
        <w:jc w:val="left"/>
        <w:rPr>
          <w:b/>
          <w:sz w:val="22"/>
        </w:rPr>
      </w:pPr>
      <w:r>
        <w:rPr>
          <w:b/>
          <w:sz w:val="22"/>
        </w:rPr>
        <w:t>37 let spolupráce Renaultu s filmovým festivalem v</w:t>
      </w:r>
      <w:r>
        <w:rPr>
          <w:b/>
          <w:spacing w:val="-7"/>
          <w:sz w:val="22"/>
        </w:rPr>
        <w:t> </w:t>
      </w:r>
      <w:r>
        <w:rPr>
          <w:b/>
          <w:sz w:val="22"/>
        </w:rPr>
        <w:t>Cannes</w:t>
      </w:r>
    </w:p>
    <w:p>
      <w:pPr>
        <w:pStyle w:val="ListParagraph"/>
        <w:numPr>
          <w:ilvl w:val="1"/>
          <w:numId w:val="1"/>
        </w:numPr>
        <w:tabs>
          <w:tab w:pos="1059" w:val="left" w:leader="none"/>
          <w:tab w:pos="1060" w:val="left" w:leader="none"/>
        </w:tabs>
        <w:spacing w:line="240" w:lineRule="auto" w:before="172" w:after="0"/>
        <w:ind w:left="1059" w:right="0" w:hanging="361"/>
        <w:jc w:val="left"/>
        <w:rPr>
          <w:b/>
          <w:sz w:val="22"/>
        </w:rPr>
      </w:pPr>
      <w:r>
        <w:rPr>
          <w:b/>
          <w:sz w:val="22"/>
        </w:rPr>
        <w:t>300 automobilů Renault k dispozici pro organizátory festivalů v roce</w:t>
      </w:r>
      <w:r>
        <w:rPr>
          <w:b/>
          <w:spacing w:val="-17"/>
          <w:sz w:val="22"/>
        </w:rPr>
        <w:t> </w:t>
      </w:r>
      <w:r>
        <w:rPr>
          <w:b/>
          <w:sz w:val="22"/>
        </w:rPr>
        <w:t>2019</w:t>
      </w:r>
    </w:p>
    <w:p>
      <w:pPr>
        <w:pStyle w:val="BodyText"/>
        <w:spacing w:before="3"/>
        <w:rPr>
          <w:b/>
          <w:sz w:val="33"/>
        </w:rPr>
      </w:pPr>
    </w:p>
    <w:p>
      <w:pPr>
        <w:pStyle w:val="BodyText"/>
        <w:spacing w:line="357" w:lineRule="auto"/>
        <w:ind w:left="106" w:right="1324"/>
        <w:jc w:val="both"/>
      </w:pPr>
      <w:r>
        <w:rPr/>
        <w:t>Od vzniku značky Renault a zrození kinematografie ve Francii před více než sto lety jsou jejich osudy navzájem těsně propojeny</w:t>
      </w:r>
      <w:r>
        <w:rPr>
          <w:color w:val="0000FF"/>
        </w:rPr>
        <w:t>. </w:t>
      </w:r>
      <w:r>
        <w:rPr/>
        <w:t>V roce 1895 si bratři Lumièrové nechali patentovat první kinematograf a založili své studio v Boulogne-Billancourt, nedaleko ostrova Seguin, kde o několik let později vznikly první továrny Renault.</w:t>
      </w:r>
    </w:p>
    <w:p>
      <w:pPr>
        <w:pStyle w:val="BodyText"/>
        <w:spacing w:before="8"/>
        <w:rPr>
          <w:sz w:val="28"/>
        </w:rPr>
      </w:pPr>
    </w:p>
    <w:p>
      <w:pPr>
        <w:pStyle w:val="BodyText"/>
        <w:spacing w:line="357" w:lineRule="auto"/>
        <w:ind w:left="106" w:right="1377"/>
        <w:jc w:val="both"/>
      </w:pPr>
      <w:r>
        <w:rPr/>
        <w:t>Od samého začátku existence firmy Renault Frères, to znamená od roku 1899, využíval Louis Renault, jeden z jejích zakladatelů, příležitosti, které nabízí kinematografie, k propagaci svých automobilů</w:t>
      </w:r>
      <w:r>
        <w:rPr>
          <w:color w:val="0000FF"/>
        </w:rPr>
        <w:t>. </w:t>
      </w:r>
      <w:r>
        <w:rPr/>
        <w:t>Ve stejném roce bratři Lumièrové vytvořili krátký film, ve kterém Louis Renault vystoupil za volantem prvního modelu značky, jímž byl Renautl Type A – malé auto, které osobně vyprojektoval a uvedl na</w:t>
      </w:r>
      <w:r>
        <w:rPr>
          <w:spacing w:val="-4"/>
        </w:rPr>
        <w:t> </w:t>
      </w:r>
      <w:r>
        <w:rPr/>
        <w:t>trh.</w:t>
      </w:r>
    </w:p>
    <w:p>
      <w:pPr>
        <w:pStyle w:val="BodyText"/>
        <w:spacing w:before="6"/>
        <w:rPr>
          <w:sz w:val="28"/>
        </w:rPr>
      </w:pPr>
    </w:p>
    <w:p>
      <w:pPr>
        <w:pStyle w:val="BodyText"/>
        <w:spacing w:line="357" w:lineRule="auto" w:before="1"/>
        <w:ind w:left="106" w:right="1434"/>
      </w:pPr>
      <w:r>
        <w:rPr/>
        <w:t>Od té doby francouzského výrobce s desátou můzou spojuje zvláštní svazek. Automobily Renault se dnes každoročně objevují v přibližně čtyřiceti filmových produkcích.</w:t>
      </w:r>
    </w:p>
    <w:p>
      <w:pPr>
        <w:spacing w:after="0" w:line="357" w:lineRule="auto"/>
        <w:sectPr>
          <w:headerReference w:type="default" r:id="rId6"/>
          <w:pgSz w:w="11900" w:h="16820"/>
          <w:pgMar w:header="540" w:footer="0" w:top="1200" w:bottom="280" w:left="1540" w:right="740"/>
        </w:sectPr>
      </w:pPr>
    </w:p>
    <w:p>
      <w:pPr>
        <w:pStyle w:val="BodyText"/>
        <w:spacing w:before="10"/>
        <w:rPr>
          <w:sz w:val="21"/>
        </w:rPr>
      </w:pPr>
    </w:p>
    <w:p>
      <w:pPr>
        <w:pStyle w:val="BodyText"/>
        <w:ind w:left="106"/>
        <w:rPr>
          <w:sz w:val="20"/>
        </w:rPr>
      </w:pPr>
      <w:r>
        <w:rPr>
          <w:sz w:val="20"/>
        </w:rPr>
        <w:drawing>
          <wp:inline distT="0" distB="0" distL="0" distR="0">
            <wp:extent cx="5333323" cy="8013954"/>
            <wp:effectExtent l="0" t="0" r="0" b="0"/>
            <wp:docPr id="3" name="image3.jpeg"/>
            <wp:cNvGraphicFramePr>
              <a:graphicFrameLocks noChangeAspect="1"/>
            </wp:cNvGraphicFramePr>
            <a:graphic>
              <a:graphicData uri="http://schemas.openxmlformats.org/drawingml/2006/picture">
                <pic:pic>
                  <pic:nvPicPr>
                    <pic:cNvPr id="4" name="image3.jpeg"/>
                    <pic:cNvPicPr/>
                  </pic:nvPicPr>
                  <pic:blipFill>
                    <a:blip r:embed="rId9" cstate="print"/>
                    <a:stretch>
                      <a:fillRect/>
                    </a:stretch>
                  </pic:blipFill>
                  <pic:spPr>
                    <a:xfrm>
                      <a:off x="0" y="0"/>
                      <a:ext cx="5333323" cy="8013954"/>
                    </a:xfrm>
                    <a:prstGeom prst="rect">
                      <a:avLst/>
                    </a:prstGeom>
                  </pic:spPr>
                </pic:pic>
              </a:graphicData>
            </a:graphic>
          </wp:inline>
        </w:drawing>
      </w:r>
      <w:r>
        <w:rPr>
          <w:sz w:val="20"/>
        </w:rPr>
      </w:r>
    </w:p>
    <w:p>
      <w:pPr>
        <w:pStyle w:val="BodyText"/>
        <w:spacing w:before="7"/>
        <w:rPr>
          <w:sz w:val="29"/>
        </w:rPr>
      </w:pPr>
    </w:p>
    <w:p>
      <w:pPr>
        <w:pStyle w:val="BodyText"/>
        <w:spacing w:line="357" w:lineRule="auto" w:before="93"/>
        <w:ind w:left="106" w:right="1145"/>
      </w:pPr>
      <w:r>
        <w:rPr/>
        <w:t>Renault každoročně doprovází filmové festivaly po celém světě, kde přepravuje hvězdy, které se procházejí po nejslavnějších červených kobercích.</w:t>
      </w:r>
    </w:p>
    <w:p>
      <w:pPr>
        <w:pStyle w:val="BodyText"/>
        <w:spacing w:before="2"/>
        <w:ind w:left="106"/>
      </w:pPr>
      <w:r>
        <w:rPr/>
        <w:t>Renault je oficiálním automobilovým partnerem následujících festivalů:</w:t>
      </w:r>
    </w:p>
    <w:p>
      <w:pPr>
        <w:pStyle w:val="ListParagraph"/>
        <w:numPr>
          <w:ilvl w:val="0"/>
          <w:numId w:val="2"/>
        </w:numPr>
        <w:tabs>
          <w:tab w:pos="223" w:val="left" w:leader="none"/>
        </w:tabs>
        <w:spacing w:line="240" w:lineRule="auto" w:before="108" w:after="0"/>
        <w:ind w:left="222" w:right="0" w:hanging="117"/>
        <w:jc w:val="left"/>
        <w:rPr>
          <w:sz w:val="19"/>
        </w:rPr>
      </w:pPr>
      <w:r>
        <w:rPr>
          <w:sz w:val="19"/>
        </w:rPr>
        <w:t>Filmový festival v</w:t>
      </w:r>
      <w:r>
        <w:rPr>
          <w:spacing w:val="2"/>
          <w:sz w:val="19"/>
        </w:rPr>
        <w:t> </w:t>
      </w:r>
      <w:r>
        <w:rPr>
          <w:sz w:val="19"/>
        </w:rPr>
        <w:t>Cannes,</w:t>
      </w:r>
    </w:p>
    <w:p>
      <w:pPr>
        <w:spacing w:after="0" w:line="240" w:lineRule="auto"/>
        <w:jc w:val="left"/>
        <w:rPr>
          <w:sz w:val="19"/>
        </w:rPr>
        <w:sectPr>
          <w:headerReference w:type="default" r:id="rId8"/>
          <w:pgSz w:w="11900" w:h="16820"/>
          <w:pgMar w:header="540" w:footer="0" w:top="1200" w:bottom="280" w:left="1540" w:right="740"/>
        </w:sectPr>
      </w:pPr>
    </w:p>
    <w:p>
      <w:pPr>
        <w:pStyle w:val="ListParagraph"/>
        <w:numPr>
          <w:ilvl w:val="0"/>
          <w:numId w:val="2"/>
        </w:numPr>
        <w:tabs>
          <w:tab w:pos="225" w:val="left" w:leader="none"/>
        </w:tabs>
        <w:spacing w:line="240" w:lineRule="auto" w:before="71" w:after="0"/>
        <w:ind w:left="224" w:right="0" w:hanging="119"/>
        <w:jc w:val="left"/>
        <w:rPr>
          <w:sz w:val="19"/>
        </w:rPr>
      </w:pPr>
      <w:r>
        <w:rPr>
          <w:sz w:val="19"/>
        </w:rPr>
        <w:t>Ceremonie předávání cen</w:t>
      </w:r>
      <w:r>
        <w:rPr>
          <w:spacing w:val="-2"/>
          <w:sz w:val="19"/>
        </w:rPr>
        <w:t> </w:t>
      </w:r>
      <w:r>
        <w:rPr>
          <w:sz w:val="19"/>
        </w:rPr>
        <w:t>César,</w:t>
      </w:r>
    </w:p>
    <w:p>
      <w:pPr>
        <w:pStyle w:val="ListParagraph"/>
        <w:numPr>
          <w:ilvl w:val="0"/>
          <w:numId w:val="2"/>
        </w:numPr>
        <w:tabs>
          <w:tab w:pos="225" w:val="left" w:leader="none"/>
        </w:tabs>
        <w:spacing w:line="240" w:lineRule="auto" w:before="108" w:after="0"/>
        <w:ind w:left="224" w:right="0" w:hanging="119"/>
        <w:jc w:val="left"/>
        <w:rPr>
          <w:sz w:val="19"/>
        </w:rPr>
      </w:pPr>
      <w:r>
        <w:rPr>
          <w:sz w:val="19"/>
        </w:rPr>
        <w:t>Americký filmový festival v</w:t>
      </w:r>
      <w:r>
        <w:rPr>
          <w:spacing w:val="-1"/>
          <w:sz w:val="19"/>
        </w:rPr>
        <w:t> </w:t>
      </w:r>
      <w:r>
        <w:rPr>
          <w:sz w:val="19"/>
        </w:rPr>
        <w:t>Deauville,</w:t>
      </w:r>
    </w:p>
    <w:p>
      <w:pPr>
        <w:pStyle w:val="ListParagraph"/>
        <w:numPr>
          <w:ilvl w:val="0"/>
          <w:numId w:val="2"/>
        </w:numPr>
        <w:tabs>
          <w:tab w:pos="225" w:val="left" w:leader="none"/>
        </w:tabs>
        <w:spacing w:line="240" w:lineRule="auto" w:before="108" w:after="0"/>
        <w:ind w:left="224" w:right="0" w:hanging="119"/>
        <w:jc w:val="left"/>
        <w:rPr>
          <w:sz w:val="19"/>
        </w:rPr>
      </w:pPr>
      <w:r>
        <w:rPr>
          <w:sz w:val="19"/>
        </w:rPr>
        <w:t>Mezinárodní festival komediálních filmů v Alpe d'Huez,</w:t>
      </w:r>
    </w:p>
    <w:p>
      <w:pPr>
        <w:pStyle w:val="ListParagraph"/>
        <w:numPr>
          <w:ilvl w:val="0"/>
          <w:numId w:val="2"/>
        </w:numPr>
        <w:tabs>
          <w:tab w:pos="225" w:val="left" w:leader="none"/>
        </w:tabs>
        <w:spacing w:line="240" w:lineRule="auto" w:before="108" w:after="0"/>
        <w:ind w:left="224" w:right="0" w:hanging="119"/>
        <w:jc w:val="left"/>
        <w:rPr>
          <w:sz w:val="19"/>
        </w:rPr>
      </w:pPr>
      <w:r>
        <w:rPr>
          <w:sz w:val="19"/>
        </w:rPr>
        <w:t>Festival romantických filmů v Cabourgu,</w:t>
      </w:r>
    </w:p>
    <w:p>
      <w:pPr>
        <w:pStyle w:val="ListParagraph"/>
        <w:numPr>
          <w:ilvl w:val="0"/>
          <w:numId w:val="2"/>
        </w:numPr>
        <w:tabs>
          <w:tab w:pos="225" w:val="left" w:leader="none"/>
        </w:tabs>
        <w:spacing w:line="240" w:lineRule="auto" w:before="106" w:after="0"/>
        <w:ind w:left="224" w:right="0" w:hanging="119"/>
        <w:jc w:val="left"/>
        <w:rPr>
          <w:sz w:val="19"/>
        </w:rPr>
      </w:pPr>
      <w:r>
        <w:rPr>
          <w:sz w:val="19"/>
        </w:rPr>
        <w:t>Festival frankofonních filmů v Angoulême,</w:t>
      </w:r>
    </w:p>
    <w:p>
      <w:pPr>
        <w:pStyle w:val="ListParagraph"/>
        <w:numPr>
          <w:ilvl w:val="0"/>
          <w:numId w:val="2"/>
        </w:numPr>
        <w:tabs>
          <w:tab w:pos="225" w:val="left" w:leader="none"/>
        </w:tabs>
        <w:spacing w:line="240" w:lineRule="auto" w:before="108" w:after="0"/>
        <w:ind w:left="224" w:right="0" w:hanging="119"/>
        <w:jc w:val="left"/>
        <w:rPr>
          <w:sz w:val="19"/>
        </w:rPr>
      </w:pPr>
      <w:r>
        <w:rPr>
          <w:sz w:val="19"/>
        </w:rPr>
        <w:t>Filmový festival </w:t>
      </w:r>
      <w:r>
        <w:rPr>
          <w:sz w:val="22"/>
        </w:rPr>
        <w:t>bratří </w:t>
      </w:r>
      <w:r>
        <w:rPr>
          <w:sz w:val="19"/>
        </w:rPr>
        <w:t>Lumièrů v Lyonu (Grand Lyon Film</w:t>
      </w:r>
      <w:r>
        <w:rPr>
          <w:spacing w:val="9"/>
          <w:sz w:val="19"/>
        </w:rPr>
        <w:t> </w:t>
      </w:r>
      <w:r>
        <w:rPr>
          <w:sz w:val="19"/>
        </w:rPr>
        <w:t>Festival),</w:t>
      </w:r>
    </w:p>
    <w:p>
      <w:pPr>
        <w:pStyle w:val="ListParagraph"/>
        <w:numPr>
          <w:ilvl w:val="0"/>
          <w:numId w:val="2"/>
        </w:numPr>
        <w:tabs>
          <w:tab w:pos="225" w:val="left" w:leader="none"/>
        </w:tabs>
        <w:spacing w:line="240" w:lineRule="auto" w:before="107" w:after="0"/>
        <w:ind w:left="224" w:right="0" w:hanging="119"/>
        <w:jc w:val="left"/>
        <w:rPr>
          <w:sz w:val="19"/>
        </w:rPr>
      </w:pPr>
      <w:r>
        <w:rPr>
          <w:sz w:val="19"/>
        </w:rPr>
        <w:t>Online Festival francouzského</w:t>
      </w:r>
      <w:r>
        <w:rPr>
          <w:spacing w:val="-1"/>
          <w:sz w:val="19"/>
        </w:rPr>
        <w:t> </w:t>
      </w:r>
      <w:r>
        <w:rPr>
          <w:sz w:val="19"/>
        </w:rPr>
        <w:t>filmu,</w:t>
      </w:r>
    </w:p>
    <w:p>
      <w:pPr>
        <w:pStyle w:val="ListParagraph"/>
        <w:numPr>
          <w:ilvl w:val="0"/>
          <w:numId w:val="2"/>
        </w:numPr>
        <w:tabs>
          <w:tab w:pos="225" w:val="left" w:leader="none"/>
        </w:tabs>
        <w:spacing w:line="240" w:lineRule="auto" w:before="105" w:after="0"/>
        <w:ind w:left="224" w:right="0" w:hanging="119"/>
        <w:jc w:val="left"/>
        <w:rPr>
          <w:sz w:val="19"/>
        </w:rPr>
      </w:pPr>
      <w:r>
        <w:rPr>
          <w:sz w:val="19"/>
        </w:rPr>
        <w:t>Mezinárodní festival audiovizuálních</w:t>
      </w:r>
      <w:r>
        <w:rPr>
          <w:spacing w:val="-2"/>
          <w:sz w:val="19"/>
        </w:rPr>
        <w:t> </w:t>
      </w:r>
      <w:r>
        <w:rPr>
          <w:sz w:val="19"/>
        </w:rPr>
        <w:t>programů.</w:t>
      </w:r>
    </w:p>
    <w:p>
      <w:pPr>
        <w:spacing w:after="0" w:line="240" w:lineRule="auto"/>
        <w:jc w:val="left"/>
        <w:rPr>
          <w:sz w:val="19"/>
        </w:rPr>
        <w:sectPr>
          <w:headerReference w:type="default" r:id="rId10"/>
          <w:pgSz w:w="11900" w:h="16820"/>
          <w:pgMar w:header="0" w:footer="0" w:top="480" w:bottom="280" w:left="1540" w:right="740"/>
        </w:sectPr>
      </w:pPr>
    </w:p>
    <w:p>
      <w:pPr>
        <w:pStyle w:val="BodyText"/>
        <w:spacing w:before="10"/>
        <w:rPr>
          <w:sz w:val="21"/>
        </w:rPr>
      </w:pPr>
    </w:p>
    <w:p>
      <w:pPr>
        <w:pStyle w:val="BodyText"/>
        <w:ind w:left="106"/>
        <w:rPr>
          <w:sz w:val="20"/>
        </w:rPr>
      </w:pPr>
      <w:r>
        <w:rPr>
          <w:sz w:val="20"/>
        </w:rPr>
        <w:drawing>
          <wp:inline distT="0" distB="0" distL="0" distR="0">
            <wp:extent cx="5266067" cy="1787652"/>
            <wp:effectExtent l="0" t="0" r="0" b="0"/>
            <wp:docPr id="5" name="image4.png"/>
            <wp:cNvGraphicFramePr>
              <a:graphicFrameLocks noChangeAspect="1"/>
            </wp:cNvGraphicFramePr>
            <a:graphic>
              <a:graphicData uri="http://schemas.openxmlformats.org/drawingml/2006/picture">
                <pic:pic>
                  <pic:nvPicPr>
                    <pic:cNvPr id="6" name="image4.png"/>
                    <pic:cNvPicPr/>
                  </pic:nvPicPr>
                  <pic:blipFill>
                    <a:blip r:embed="rId12" cstate="print"/>
                    <a:stretch>
                      <a:fillRect/>
                    </a:stretch>
                  </pic:blipFill>
                  <pic:spPr>
                    <a:xfrm>
                      <a:off x="0" y="0"/>
                      <a:ext cx="5266067" cy="1787652"/>
                    </a:xfrm>
                    <a:prstGeom prst="rect">
                      <a:avLst/>
                    </a:prstGeom>
                  </pic:spPr>
                </pic:pic>
              </a:graphicData>
            </a:graphic>
          </wp:inline>
        </w:drawing>
      </w:r>
      <w:r>
        <w:rPr>
          <w:sz w:val="20"/>
        </w:rPr>
      </w:r>
    </w:p>
    <w:p>
      <w:pPr>
        <w:pStyle w:val="BodyText"/>
        <w:spacing w:before="11"/>
        <w:rPr>
          <w:sz w:val="29"/>
        </w:rPr>
      </w:pPr>
    </w:p>
    <w:p>
      <w:pPr>
        <w:pStyle w:val="BodyText"/>
        <w:spacing w:line="357" w:lineRule="auto" w:before="94"/>
        <w:ind w:left="106" w:right="1198"/>
        <w:jc w:val="both"/>
      </w:pPr>
      <w:r>
        <w:rPr/>
        <w:t>„Titanic“ je film, který se v době své premiéry stal největším kasovním trhákem všech dob. Vypráví tragický příběh legendárního britského transatlantického parníku, který se potopil v roce 1912 během své první plavby do Spojených států amerických.  Kromě množství dalších předmětů se     v nákladovém prostoru lodi nacházel také model Renaultu Type CB. Patřil Williamovi Ernestovi Carterovi, který cestoval první třídou (a byl jedním z těch, kdo byli zachráněni). Carter chtěl automobil převézt do Ameriky. Milostná scéna s Leonardem Di Capriem a Kate Winsletovou byla natočena v interiéru repliky slavného modelu z roku</w:t>
      </w:r>
      <w:r>
        <w:rPr>
          <w:spacing w:val="1"/>
        </w:rPr>
        <w:t> </w:t>
      </w:r>
      <w:r>
        <w:rPr/>
        <w:t>1910.</w:t>
      </w:r>
    </w:p>
    <w:p>
      <w:pPr>
        <w:spacing w:after="0" w:line="357" w:lineRule="auto"/>
        <w:jc w:val="both"/>
        <w:sectPr>
          <w:headerReference w:type="default" r:id="rId11"/>
          <w:pgSz w:w="11900" w:h="16820"/>
          <w:pgMar w:header="540" w:footer="0" w:top="1200" w:bottom="280" w:left="1540" w:right="7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8"/>
        </w:rPr>
      </w:pPr>
    </w:p>
    <w:p>
      <w:pPr>
        <w:pStyle w:val="BodyText"/>
        <w:ind w:left="106"/>
        <w:rPr>
          <w:sz w:val="20"/>
        </w:rPr>
      </w:pPr>
      <w:r>
        <w:rPr>
          <w:sz w:val="20"/>
        </w:rPr>
        <w:pict>
          <v:group style="width:413.8pt;height:275.75pt;mso-position-horizontal-relative:char;mso-position-vertical-relative:line" coordorigin="0,0" coordsize="8276,5515">
            <v:shape style="position:absolute;left:1156;top:2427;width:434;height:295" coordorigin="1156,2427" coordsize="434,295" path="m1409,2427l1192,2427,1178,2430,1166,2437,1159,2449,1156,2463,1156,2685,1159,2700,1166,2711,1178,2719,1192,2722,1409,2722,1423,2719,1435,2711,1443,2700,1445,2685,1445,2463,1443,2449,1435,2437,1423,2430,1409,2427xm1565,2451l1552,2456,1470,2514,1470,2635,1552,2693,1565,2697,1577,2695,1587,2686,1590,2673,1590,2476,1587,2463,1577,2454,1565,2451xe" filled="true" fillcolor="#454545" stroked="false">
              <v:path arrowok="t"/>
              <v:fill type="solid"/>
            </v:shape>
            <v:shape style="position:absolute;left:0;top:0;width:8276;height:5515" type="#_x0000_t75" stroked="false">
              <v:imagedata r:id="rId14" o:title=""/>
            </v:shape>
          </v:group>
        </w:pict>
      </w:r>
      <w:r>
        <w:rPr>
          <w:sz w:val="20"/>
        </w:rPr>
      </w:r>
    </w:p>
    <w:p>
      <w:pPr>
        <w:pStyle w:val="BodyText"/>
        <w:rPr>
          <w:sz w:val="20"/>
        </w:rPr>
      </w:pPr>
    </w:p>
    <w:p>
      <w:pPr>
        <w:pStyle w:val="BodyText"/>
        <w:rPr>
          <w:sz w:val="20"/>
        </w:rPr>
      </w:pPr>
    </w:p>
    <w:p>
      <w:pPr>
        <w:pStyle w:val="BodyText"/>
        <w:spacing w:before="6"/>
        <w:rPr>
          <w:sz w:val="22"/>
        </w:rPr>
      </w:pPr>
    </w:p>
    <w:p>
      <w:pPr>
        <w:pStyle w:val="BodyText"/>
        <w:spacing w:line="357" w:lineRule="auto" w:before="94"/>
        <w:ind w:left="106" w:right="1248"/>
        <w:jc w:val="both"/>
      </w:pPr>
      <w:r>
        <w:rPr/>
        <w:t>Renault 11, v osmdesátých letech minulého století nejlépe prodávaný vůz v rámci své třídy, se stal hrdinou jedné z nejvelkolepějších scén filmové honičky ve filmu „Vyhlídka na vraždu“ („A View to a Kill“) z cyklu dobrodružství Jamese Bonda. Roger Moore, který ztvárňuje postavu slovutného britského tajného agenta, v ní vyhazuje řidiče z R11 zaparkovaného u úpatí Eiffelovy věže, a pak začíná bravurní rallye podél Seiny při honbě padákového kluzáku. V zápalu akce, kterou provádí agent 007, ztrácí R11 střechu po srážce se zamčenou závorou a po chvíli je zkráceno o polovinu při střetu s autem přijíždějícím z</w:t>
      </w:r>
      <w:r>
        <w:rPr>
          <w:spacing w:val="-2"/>
        </w:rPr>
        <w:t> </w:t>
      </w:r>
      <w:r>
        <w:rPr/>
        <w:t>protisměru.</w:t>
      </w:r>
    </w:p>
    <w:p>
      <w:pPr>
        <w:spacing w:after="0" w:line="357" w:lineRule="auto"/>
        <w:jc w:val="both"/>
        <w:sectPr>
          <w:headerReference w:type="default" r:id="rId13"/>
          <w:pgSz w:w="11900" w:h="16820"/>
          <w:pgMar w:header="540" w:footer="0" w:top="1200" w:bottom="280" w:left="1540" w:right="740"/>
        </w:sectPr>
      </w:pPr>
    </w:p>
    <w:p>
      <w:pPr>
        <w:pStyle w:val="BodyText"/>
        <w:rPr>
          <w:sz w:val="20"/>
        </w:rPr>
      </w:pPr>
      <w:r>
        <w:rPr/>
        <w:pict>
          <v:group style="position:absolute;margin-left:22.92pt;margin-top:22.400023pt;width:544.1pt;height:37.35pt;mso-position-horizontal-relative:page;mso-position-vertical-relative:page;z-index:-251955200" coordorigin="458,448" coordsize="10882,747">
            <v:rect style="position:absolute;left:560;top:448;width:10780;height:747" filled="true" fillcolor="#ffcc33" stroked="false">
              <v:fill type="solid"/>
            </v:rect>
            <v:shape style="position:absolute;left:458;top:448;width:10882;height:747" type="#_x0000_t202" filled="false" stroked="false">
              <v:textbox inset="0,0,0,0">
                <w:txbxContent>
                  <w:p>
                    <w:pPr>
                      <w:spacing w:before="111"/>
                      <w:ind w:left="0" w:right="0" w:firstLine="0"/>
                      <w:jc w:val="left"/>
                      <w:rPr>
                        <w:b/>
                        <w:sz w:val="21"/>
                      </w:rPr>
                    </w:pPr>
                    <w:r>
                      <w:rPr>
                        <w:b/>
                        <w:w w:val="105"/>
                        <w:sz w:val="21"/>
                      </w:rPr>
                      <w:t>Renault</w:t>
                    </w:r>
                    <w:r>
                      <w:rPr>
                        <w:b/>
                        <w:spacing w:val="-13"/>
                        <w:w w:val="105"/>
                        <w:sz w:val="21"/>
                      </w:rPr>
                      <w:t> </w:t>
                    </w:r>
                    <w:r>
                      <w:rPr>
                        <w:b/>
                        <w:spacing w:val="-4"/>
                        <w:w w:val="105"/>
                        <w:sz w:val="21"/>
                      </w:rPr>
                      <w:t>Type</w:t>
                    </w:r>
                    <w:r>
                      <w:rPr>
                        <w:b/>
                        <w:spacing w:val="-16"/>
                        <w:w w:val="105"/>
                        <w:sz w:val="21"/>
                      </w:rPr>
                      <w:t> </w:t>
                    </w:r>
                    <w:r>
                      <w:rPr>
                        <w:b/>
                        <w:w w:val="105"/>
                        <w:sz w:val="21"/>
                      </w:rPr>
                      <w:t>NN</w:t>
                    </w:r>
                    <w:r>
                      <w:rPr>
                        <w:b/>
                        <w:spacing w:val="-9"/>
                        <w:w w:val="105"/>
                        <w:sz w:val="21"/>
                      </w:rPr>
                      <w:t> </w:t>
                    </w:r>
                    <w:r>
                      <w:rPr>
                        <w:b/>
                        <w:w w:val="105"/>
                        <w:sz w:val="21"/>
                      </w:rPr>
                      <w:t>–</w:t>
                    </w:r>
                    <w:r>
                      <w:rPr>
                        <w:b/>
                        <w:spacing w:val="-11"/>
                        <w:w w:val="105"/>
                        <w:sz w:val="21"/>
                      </w:rPr>
                      <w:t> </w:t>
                    </w:r>
                    <w:r>
                      <w:rPr>
                        <w:b/>
                        <w:w w:val="105"/>
                        <w:sz w:val="21"/>
                      </w:rPr>
                      <w:t>„Indiana</w:t>
                    </w:r>
                    <w:r>
                      <w:rPr>
                        <w:b/>
                        <w:spacing w:val="-9"/>
                        <w:w w:val="105"/>
                        <w:sz w:val="21"/>
                      </w:rPr>
                      <w:t> </w:t>
                    </w:r>
                    <w:r>
                      <w:rPr>
                        <w:b/>
                        <w:w w:val="105"/>
                        <w:sz w:val="21"/>
                      </w:rPr>
                      <w:t>Jones</w:t>
                    </w:r>
                    <w:r>
                      <w:rPr>
                        <w:b/>
                        <w:spacing w:val="-11"/>
                        <w:w w:val="105"/>
                        <w:sz w:val="21"/>
                      </w:rPr>
                      <w:t> </w:t>
                    </w:r>
                    <w:r>
                      <w:rPr>
                        <w:b/>
                        <w:w w:val="105"/>
                        <w:sz w:val="21"/>
                      </w:rPr>
                      <w:t>a</w:t>
                    </w:r>
                    <w:r>
                      <w:rPr>
                        <w:b/>
                        <w:spacing w:val="-21"/>
                        <w:w w:val="105"/>
                        <w:sz w:val="21"/>
                      </w:rPr>
                      <w:t> </w:t>
                    </w:r>
                    <w:r>
                      <w:rPr>
                        <w:b/>
                        <w:spacing w:val="-10"/>
                        <w:w w:val="105"/>
                        <w:sz w:val="21"/>
                      </w:rPr>
                      <w:t>poslední</w:t>
                    </w:r>
                    <w:r>
                      <w:rPr>
                        <w:b/>
                        <w:spacing w:val="-21"/>
                        <w:w w:val="105"/>
                        <w:sz w:val="21"/>
                      </w:rPr>
                      <w:t> </w:t>
                    </w:r>
                    <w:r>
                      <w:rPr>
                        <w:b/>
                        <w:spacing w:val="-9"/>
                        <w:w w:val="105"/>
                        <w:sz w:val="21"/>
                      </w:rPr>
                      <w:t>křížová</w:t>
                    </w:r>
                    <w:r>
                      <w:rPr>
                        <w:b/>
                        <w:spacing w:val="-21"/>
                        <w:w w:val="105"/>
                        <w:sz w:val="21"/>
                      </w:rPr>
                      <w:t> </w:t>
                    </w:r>
                    <w:r>
                      <w:rPr>
                        <w:b/>
                        <w:spacing w:val="-10"/>
                        <w:w w:val="105"/>
                        <w:sz w:val="21"/>
                      </w:rPr>
                      <w:t>výprava“</w:t>
                    </w:r>
                    <w:r>
                      <w:rPr>
                        <w:b/>
                        <w:spacing w:val="-20"/>
                        <w:w w:val="105"/>
                        <w:sz w:val="21"/>
                      </w:rPr>
                      <w:t> </w:t>
                    </w:r>
                    <w:r>
                      <w:rPr>
                        <w:b/>
                        <w:spacing w:val="-10"/>
                        <w:w w:val="105"/>
                        <w:sz w:val="21"/>
                      </w:rPr>
                      <w:t>(„Indiana</w:t>
                    </w:r>
                    <w:r>
                      <w:rPr>
                        <w:b/>
                        <w:spacing w:val="-21"/>
                        <w:w w:val="105"/>
                        <w:sz w:val="21"/>
                      </w:rPr>
                      <w:t> </w:t>
                    </w:r>
                    <w:r>
                      <w:rPr>
                        <w:b/>
                        <w:spacing w:val="-9"/>
                        <w:w w:val="105"/>
                        <w:sz w:val="21"/>
                      </w:rPr>
                      <w:t>Jones</w:t>
                    </w:r>
                    <w:r>
                      <w:rPr>
                        <w:b/>
                        <w:spacing w:val="-21"/>
                        <w:w w:val="105"/>
                        <w:sz w:val="21"/>
                      </w:rPr>
                      <w:t> </w:t>
                    </w:r>
                    <w:r>
                      <w:rPr>
                        <w:b/>
                        <w:w w:val="105"/>
                        <w:sz w:val="21"/>
                      </w:rPr>
                      <w:t>and</w:t>
                    </w:r>
                    <w:r>
                      <w:rPr>
                        <w:b/>
                        <w:spacing w:val="-8"/>
                        <w:w w:val="105"/>
                        <w:sz w:val="21"/>
                      </w:rPr>
                      <w:t> </w:t>
                    </w:r>
                    <w:r>
                      <w:rPr>
                        <w:b/>
                        <w:w w:val="105"/>
                        <w:sz w:val="21"/>
                      </w:rPr>
                      <w:t>the</w:t>
                    </w:r>
                    <w:r>
                      <w:rPr>
                        <w:b/>
                        <w:spacing w:val="-13"/>
                        <w:w w:val="105"/>
                        <w:sz w:val="21"/>
                      </w:rPr>
                      <w:t> </w:t>
                    </w:r>
                    <w:r>
                      <w:rPr>
                        <w:b/>
                        <w:w w:val="105"/>
                        <w:sz w:val="21"/>
                      </w:rPr>
                      <w:t>Last</w:t>
                    </w:r>
                    <w:r>
                      <w:rPr>
                        <w:b/>
                        <w:spacing w:val="-11"/>
                        <w:w w:val="105"/>
                        <w:sz w:val="21"/>
                      </w:rPr>
                      <w:t> </w:t>
                    </w:r>
                    <w:r>
                      <w:rPr>
                        <w:b/>
                        <w:w w:val="105"/>
                        <w:sz w:val="21"/>
                      </w:rPr>
                      <w:t>Crusade“), režisér Steven Spielberg</w:t>
                    </w:r>
                    <w:r>
                      <w:rPr>
                        <w:b/>
                        <w:spacing w:val="-30"/>
                        <w:w w:val="105"/>
                        <w:sz w:val="21"/>
                      </w:rPr>
                      <w:t> </w:t>
                    </w:r>
                    <w:r>
                      <w:rPr>
                        <w:b/>
                        <w:w w:val="105"/>
                        <w:sz w:val="21"/>
                      </w:rPr>
                      <w:t>(1989)</w:t>
                    </w:r>
                  </w:p>
                </w:txbxContent>
              </v:textbox>
              <w10:wrap type="none"/>
            </v:shape>
            <w10:wrap type="none"/>
          </v:group>
        </w:pict>
      </w:r>
    </w:p>
    <w:p>
      <w:pPr>
        <w:pStyle w:val="BodyText"/>
        <w:rPr>
          <w:sz w:val="20"/>
        </w:rPr>
      </w:pPr>
    </w:p>
    <w:p>
      <w:pPr>
        <w:pStyle w:val="BodyText"/>
        <w:rPr>
          <w:sz w:val="20"/>
        </w:rPr>
      </w:pPr>
    </w:p>
    <w:p>
      <w:pPr>
        <w:pStyle w:val="BodyText"/>
        <w:spacing w:before="8"/>
        <w:rPr>
          <w:sz w:val="29"/>
        </w:rPr>
      </w:pPr>
    </w:p>
    <w:p>
      <w:pPr>
        <w:pStyle w:val="BodyText"/>
        <w:ind w:left="106"/>
        <w:rPr>
          <w:sz w:val="20"/>
        </w:rPr>
      </w:pPr>
      <w:r>
        <w:rPr>
          <w:sz w:val="20"/>
        </w:rPr>
        <w:drawing>
          <wp:inline distT="0" distB="0" distL="0" distR="0">
            <wp:extent cx="5266067" cy="1787652"/>
            <wp:effectExtent l="0" t="0" r="0" b="0"/>
            <wp:docPr id="7" name="image6.png"/>
            <wp:cNvGraphicFramePr>
              <a:graphicFrameLocks noChangeAspect="1"/>
            </wp:cNvGraphicFramePr>
            <a:graphic>
              <a:graphicData uri="http://schemas.openxmlformats.org/drawingml/2006/picture">
                <pic:pic>
                  <pic:nvPicPr>
                    <pic:cNvPr id="8" name="image6.png"/>
                    <pic:cNvPicPr/>
                  </pic:nvPicPr>
                  <pic:blipFill>
                    <a:blip r:embed="rId16" cstate="print"/>
                    <a:stretch>
                      <a:fillRect/>
                    </a:stretch>
                  </pic:blipFill>
                  <pic:spPr>
                    <a:xfrm>
                      <a:off x="0" y="0"/>
                      <a:ext cx="5266067" cy="1787652"/>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2"/>
        <w:rPr>
          <w:sz w:val="22"/>
        </w:rPr>
      </w:pPr>
    </w:p>
    <w:p>
      <w:pPr>
        <w:pStyle w:val="BodyText"/>
        <w:spacing w:line="357" w:lineRule="auto" w:before="93"/>
        <w:ind w:left="106" w:right="1322"/>
        <w:jc w:val="both"/>
      </w:pPr>
      <w:r>
        <w:rPr/>
        <w:t>Modelu Renault Type NN, který byl vyráběn v letech 1924–1929, bylo prodáno 150 000 exemplářů. Šedesát let po ukončení jeho výroby natočil Steven Spielberg třetí část série dobrodružství Indiana Jonese. Na jedné z nejslavnějších scén představujících pronásledování tanku přes poušť se podílí čtyřdveřová verze Renaultu Torpedo z roku 1928.</w:t>
      </w:r>
    </w:p>
    <w:p>
      <w:pPr>
        <w:spacing w:after="0" w:line="357" w:lineRule="auto"/>
        <w:jc w:val="both"/>
        <w:sectPr>
          <w:headerReference w:type="default" r:id="rId15"/>
          <w:pgSz w:w="11900" w:h="16820"/>
          <w:pgMar w:header="0" w:footer="0" w:top="420" w:bottom="280" w:left="1540" w:right="740"/>
        </w:sectPr>
      </w:pPr>
    </w:p>
    <w:p>
      <w:pPr>
        <w:pStyle w:val="BodyText"/>
        <w:spacing w:before="10"/>
        <w:rPr>
          <w:sz w:val="21"/>
        </w:rPr>
      </w:pPr>
    </w:p>
    <w:p>
      <w:pPr>
        <w:pStyle w:val="BodyText"/>
        <w:ind w:left="106"/>
        <w:rPr>
          <w:sz w:val="20"/>
        </w:rPr>
      </w:pPr>
      <w:r>
        <w:rPr>
          <w:sz w:val="20"/>
        </w:rPr>
        <w:drawing>
          <wp:inline distT="0" distB="0" distL="0" distR="0">
            <wp:extent cx="5260085" cy="3506724"/>
            <wp:effectExtent l="0" t="0" r="0" b="0"/>
            <wp:docPr id="9" name="image7.jpeg"/>
            <wp:cNvGraphicFramePr>
              <a:graphicFrameLocks noChangeAspect="1"/>
            </wp:cNvGraphicFramePr>
            <a:graphic>
              <a:graphicData uri="http://schemas.openxmlformats.org/drawingml/2006/picture">
                <pic:pic>
                  <pic:nvPicPr>
                    <pic:cNvPr id="10" name="image7.jpeg"/>
                    <pic:cNvPicPr/>
                  </pic:nvPicPr>
                  <pic:blipFill>
                    <a:blip r:embed="rId18" cstate="print"/>
                    <a:stretch>
                      <a:fillRect/>
                    </a:stretch>
                  </pic:blipFill>
                  <pic:spPr>
                    <a:xfrm>
                      <a:off x="0" y="0"/>
                      <a:ext cx="5260085" cy="3506724"/>
                    </a:xfrm>
                    <a:prstGeom prst="rect">
                      <a:avLst/>
                    </a:prstGeom>
                  </pic:spPr>
                </pic:pic>
              </a:graphicData>
            </a:graphic>
          </wp:inline>
        </w:drawing>
      </w:r>
      <w:r>
        <w:rPr>
          <w:sz w:val="20"/>
        </w:rPr>
      </w:r>
    </w:p>
    <w:p>
      <w:pPr>
        <w:pStyle w:val="BodyText"/>
        <w:rPr>
          <w:sz w:val="20"/>
        </w:rPr>
      </w:pPr>
    </w:p>
    <w:p>
      <w:pPr>
        <w:pStyle w:val="BodyText"/>
        <w:spacing w:before="1"/>
        <w:rPr>
          <w:sz w:val="17"/>
        </w:rPr>
      </w:pPr>
    </w:p>
    <w:p>
      <w:pPr>
        <w:pStyle w:val="BodyText"/>
        <w:spacing w:line="357" w:lineRule="auto" w:before="94"/>
        <w:ind w:left="106" w:right="1198"/>
        <w:jc w:val="both"/>
      </w:pPr>
      <w:r>
        <w:rPr/>
        <w:t>Nebylo by možné psát o Renaultech a kinematografii, a nezmínit přitom film „Návštěvníci“ („Les Visiteurs“ – 1993) a model Renault 4 F4, který v něm vystupuje ve žlutých poštovních barvách. Dodávkový vůz, který hlavní hrdinové – Godefroy de Montmirail (Jean Reno) a Jacquouille/Jacquart (Christian Clavier) – podrobí tvrdému testu, je verzí van z roku 1983. O rok později natočila skupina francouzských komiků Les Nuls (Alain Chabat, Chantal Laubyová a Dominique Farrugia) komedii „La Cité de la Peur“ (</w:t>
      </w:r>
      <w:r>
        <w:rPr>
          <w:i/>
        </w:rPr>
        <w:t>Město strachu – bez českého názvu</w:t>
      </w:r>
      <w:r>
        <w:rPr/>
        <w:t>) a se sobě vlastním smyslem pro humor v jedné scéně vzdala hold Renaultu, když představila parodii reklamy na Renault Safrane v limitované verzi Palme d'Or.</w:t>
      </w:r>
    </w:p>
    <w:p>
      <w:pPr>
        <w:pStyle w:val="BodyText"/>
        <w:spacing w:before="7"/>
        <w:rPr>
          <w:sz w:val="28"/>
        </w:rPr>
      </w:pPr>
    </w:p>
    <w:p>
      <w:pPr>
        <w:pStyle w:val="BodyText"/>
        <w:spacing w:line="357" w:lineRule="auto"/>
        <w:ind w:left="106" w:right="1166"/>
        <w:jc w:val="both"/>
      </w:pPr>
      <w:r>
        <w:rPr/>
        <w:t>Rok 2003 – další komedie a další Renault. Ve filmu „Kdo zabil Pamelu Rose?“ („Mais qui a tué Pamela Rose“) cestují Kad Merad a Olivier Baroux žlutým Renaultem a na jeho dveřích můžeme vidět nápis „The famous French car of the year 1982“ („Slavný francouzský automobil roku 1982“). V roce 2006 usedá Clovis Cornillac ve filmové adaptaci seriálu „Brigády tygrů“ („Les Brigades du Tigre“) za volant Renaultu AX Torpedo, jednoho z nejpopulárnějších modelů v Evropě na začátku minulého století. V roce 2007 využil francouzský režisér Julien Leclercq pro potřeby natáčení svého futurologického filmu „Chrysalis“ prototypy tří modelů, které zapůjčila společnost Renault: Talisman, Vel Satis i</w:t>
      </w:r>
      <w:r>
        <w:rPr>
          <w:spacing w:val="-5"/>
        </w:rPr>
        <w:t> </w:t>
      </w:r>
      <w:r>
        <w:rPr/>
        <w:t>Koleos.</w:t>
      </w:r>
    </w:p>
    <w:p>
      <w:pPr>
        <w:spacing w:after="0" w:line="357" w:lineRule="auto"/>
        <w:jc w:val="both"/>
        <w:sectPr>
          <w:headerReference w:type="default" r:id="rId17"/>
          <w:pgSz w:w="11900" w:h="16820"/>
          <w:pgMar w:header="540" w:footer="0" w:top="1200" w:bottom="280" w:left="1540" w:right="740"/>
        </w:sectPr>
      </w:pPr>
    </w:p>
    <w:p>
      <w:pPr>
        <w:pStyle w:val="BodyText"/>
        <w:spacing w:before="10"/>
        <w:rPr>
          <w:sz w:val="21"/>
        </w:rPr>
      </w:pPr>
    </w:p>
    <w:p>
      <w:pPr>
        <w:pStyle w:val="BodyText"/>
        <w:ind w:left="106"/>
        <w:rPr>
          <w:sz w:val="20"/>
        </w:rPr>
      </w:pPr>
      <w:r>
        <w:rPr>
          <w:sz w:val="20"/>
        </w:rPr>
        <w:drawing>
          <wp:inline distT="0" distB="0" distL="0" distR="0">
            <wp:extent cx="5247153" cy="5285232"/>
            <wp:effectExtent l="0" t="0" r="0" b="0"/>
            <wp:docPr id="11" name="image8.jpeg"/>
            <wp:cNvGraphicFramePr>
              <a:graphicFrameLocks noChangeAspect="1"/>
            </wp:cNvGraphicFramePr>
            <a:graphic>
              <a:graphicData uri="http://schemas.openxmlformats.org/drawingml/2006/picture">
                <pic:pic>
                  <pic:nvPicPr>
                    <pic:cNvPr id="12" name="image8.jpeg"/>
                    <pic:cNvPicPr/>
                  </pic:nvPicPr>
                  <pic:blipFill>
                    <a:blip r:embed="rId20" cstate="print"/>
                    <a:stretch>
                      <a:fillRect/>
                    </a:stretch>
                  </pic:blipFill>
                  <pic:spPr>
                    <a:xfrm>
                      <a:off x="0" y="0"/>
                      <a:ext cx="5247153" cy="5285232"/>
                    </a:xfrm>
                    <a:prstGeom prst="rect">
                      <a:avLst/>
                    </a:prstGeom>
                  </pic:spPr>
                </pic:pic>
              </a:graphicData>
            </a:graphic>
          </wp:inline>
        </w:drawing>
      </w:r>
      <w:r>
        <w:rPr>
          <w:sz w:val="20"/>
        </w:rPr>
      </w:r>
    </w:p>
    <w:p>
      <w:pPr>
        <w:pStyle w:val="BodyText"/>
        <w:rPr>
          <w:sz w:val="20"/>
        </w:rPr>
      </w:pPr>
    </w:p>
    <w:p>
      <w:pPr>
        <w:pStyle w:val="BodyText"/>
        <w:spacing w:before="6"/>
        <w:rPr>
          <w:sz w:val="20"/>
        </w:rPr>
      </w:pPr>
    </w:p>
    <w:p>
      <w:pPr>
        <w:pStyle w:val="BodyText"/>
        <w:spacing w:before="93"/>
        <w:ind w:left="106"/>
        <w:jc w:val="both"/>
      </w:pPr>
      <w:r>
        <w:rPr/>
        <w:t>V roce 1949 byl využit model Renault Nervastella při natáčení prvního filmu Jacquese Tatiho</w:t>
      </w:r>
    </w:p>
    <w:p>
      <w:pPr>
        <w:pStyle w:val="BodyText"/>
        <w:spacing w:line="357" w:lineRule="auto" w:before="108"/>
        <w:ind w:left="106" w:right="1195"/>
        <w:jc w:val="both"/>
      </w:pPr>
      <w:r>
        <w:rPr/>
        <w:t>„Jede, jede poštovský panáček“ („Jour de fête“). Charakteristická aerodynamická zadní linie a kryt chladiče podle vzoru tehdejších amerických vozů způsobily, že tento model zvítězil ve všech tehdejších plebiscitech. O několik let později, v roce 1964, se stal skutečným hitem francouzských kin snímek „Četník ze Saint-Tropez“ („Le Gendarme de Saint-Tropez“) s Luisem de Funèsem        v hlavní roli. Hlídka četníků se v něm pohybuje v modrém Renaultu Estafette, kultovní dodávce, která se natrvalo zapsala do historie motorismu. V roce 1966 usedl Lino Ventura ve filmu „My se nehněváme“ („Ne nous fâchons pas“) za volant Renaultu R8 Gordini a diváci si díky tomu mohli vychutnat zvuk motoru tohoto sportovního vozu. V roce 1971 natočil Jacques Tati film „Pan Hulot jede na výstavu“ („Trafic“), který vypráví o dobrodružstvích titulní postavy pana Hulota, projektanta a vynálezce zaměstnaného v jedné z francouzských společností, který na základě modelu Renaultu 4L vytvořil podivuhodný prototyp karavanu, vybaveného mnoha úžasnými</w:t>
      </w:r>
      <w:r>
        <w:rPr>
          <w:spacing w:val="-9"/>
        </w:rPr>
        <w:t> </w:t>
      </w:r>
      <w:r>
        <w:rPr/>
        <w:t>gadgety.</w:t>
      </w:r>
    </w:p>
    <w:p>
      <w:pPr>
        <w:pStyle w:val="BodyText"/>
        <w:spacing w:before="5"/>
        <w:rPr>
          <w:sz w:val="28"/>
        </w:rPr>
      </w:pPr>
    </w:p>
    <w:p>
      <w:pPr>
        <w:pStyle w:val="BodyText"/>
        <w:spacing w:line="355" w:lineRule="auto"/>
        <w:ind w:left="106" w:right="1180"/>
        <w:jc w:val="both"/>
      </w:pPr>
      <w:r>
        <w:rPr/>
        <w:t>V roce 1983 se Sean Connery naposledy převtělil do postavy agenta 007 ve filmu „Nikdy neříkej nikdy“ („Never Say Never Again“). Model Renault se znovu objevil v dobrodružstvích agenta ve službách Jejího veličenstva, když James Bond v nezapomenutelné scéně pronásleduje na motocyklu ženu prchající Renaultem 5 Turbo 2 malebnou scenérií městečka Antibes.</w:t>
      </w:r>
    </w:p>
    <w:p>
      <w:pPr>
        <w:spacing w:after="0" w:line="355" w:lineRule="auto"/>
        <w:jc w:val="both"/>
        <w:sectPr>
          <w:headerReference w:type="default" r:id="rId19"/>
          <w:pgSz w:w="11900" w:h="16820"/>
          <w:pgMar w:header="540" w:footer="0" w:top="1200" w:bottom="280" w:left="1540" w:right="7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7"/>
        </w:rPr>
      </w:pPr>
    </w:p>
    <w:p>
      <w:pPr>
        <w:pStyle w:val="BodyText"/>
        <w:ind w:left="1401"/>
        <w:rPr>
          <w:sz w:val="20"/>
        </w:rPr>
      </w:pPr>
      <w:r>
        <w:rPr>
          <w:sz w:val="20"/>
        </w:rPr>
        <w:drawing>
          <wp:inline distT="0" distB="0" distL="0" distR="0">
            <wp:extent cx="3854496" cy="2779776"/>
            <wp:effectExtent l="0" t="0" r="0" b="0"/>
            <wp:docPr id="13" name="image9.jpeg"/>
            <wp:cNvGraphicFramePr>
              <a:graphicFrameLocks noChangeAspect="1"/>
            </wp:cNvGraphicFramePr>
            <a:graphic>
              <a:graphicData uri="http://schemas.openxmlformats.org/drawingml/2006/picture">
                <pic:pic>
                  <pic:nvPicPr>
                    <pic:cNvPr id="14" name="image9.jpeg"/>
                    <pic:cNvPicPr/>
                  </pic:nvPicPr>
                  <pic:blipFill>
                    <a:blip r:embed="rId22" cstate="print"/>
                    <a:stretch>
                      <a:fillRect/>
                    </a:stretch>
                  </pic:blipFill>
                  <pic:spPr>
                    <a:xfrm>
                      <a:off x="0" y="0"/>
                      <a:ext cx="3854496" cy="2779776"/>
                    </a:xfrm>
                    <a:prstGeom prst="rect">
                      <a:avLst/>
                    </a:prstGeom>
                  </pic:spPr>
                </pic:pic>
              </a:graphicData>
            </a:graphic>
          </wp:inline>
        </w:drawing>
      </w:r>
      <w:r>
        <w:rPr>
          <w:sz w:val="20"/>
        </w:rPr>
      </w:r>
    </w:p>
    <w:p>
      <w:pPr>
        <w:pStyle w:val="BodyText"/>
        <w:rPr>
          <w:sz w:val="20"/>
        </w:rPr>
      </w:pPr>
    </w:p>
    <w:p>
      <w:pPr>
        <w:pStyle w:val="BodyText"/>
        <w:spacing w:before="6"/>
        <w:rPr>
          <w:sz w:val="18"/>
        </w:rPr>
      </w:pPr>
    </w:p>
    <w:p>
      <w:pPr>
        <w:pStyle w:val="BodyText"/>
        <w:spacing w:line="357" w:lineRule="auto"/>
        <w:ind w:left="106" w:right="1819"/>
        <w:jc w:val="both"/>
      </w:pPr>
      <w:r>
        <w:rPr/>
        <w:t>V roce 2010, dva roky po světovém úspěchu filmu „Vítejte u Ch'tisů“ („Bienvenue chez les Ch'tis“), režíroval Dany Boon svůj následující film „Nic k proclení“ („Rien à declarrer“). Jeden z hlavních hrdinů, kterého hraje sám režisér, v něm usedá za volant speciální verze Renaultu 4, která je vybavena motorem 140</w:t>
      </w:r>
      <w:r>
        <w:rPr>
          <w:spacing w:val="-7"/>
        </w:rPr>
        <w:t> </w:t>
      </w:r>
      <w:r>
        <w:rPr/>
        <w:t>HP!</w:t>
      </w:r>
    </w:p>
    <w:p>
      <w:pPr>
        <w:pStyle w:val="BodyText"/>
        <w:spacing w:before="8"/>
        <w:rPr>
          <w:sz w:val="28"/>
        </w:rPr>
      </w:pPr>
    </w:p>
    <w:p>
      <w:pPr>
        <w:pStyle w:val="BodyText"/>
        <w:spacing w:line="357" w:lineRule="auto"/>
        <w:ind w:left="106" w:right="1598"/>
        <w:jc w:val="both"/>
      </w:pPr>
      <w:r>
        <w:rPr/>
        <w:t>O rok později se uskutečnila filmová premiéra komediálního dramatu „Nedotknutelní“ („Intouchables“). Tento film se stal nejvýraznějším francouzským kasovním trhákem všech dob. Pro přepravu invalidního vozíku, který potřebuje postava hraná hercem Françoisem Cluzetem, byl zvolen model Renault Kangoo Series 2 TPMR. V roce 2013 sehrál Renault prvoplánovou roli na velkém plátně ve filmu „Un prince (presque) charmant“ (</w:t>
      </w:r>
      <w:r>
        <w:rPr>
          <w:i/>
        </w:rPr>
        <w:t>bez českého názvu</w:t>
      </w:r>
      <w:r>
        <w:rPr/>
        <w:t>), tentokrát díky elektrickému modelu ZOE. Ten ve filmu vzájemně spojuje dvě absolutně odlišné postavy ženy a muže, kteří jsou zdánlivě prakticky ve všem</w:t>
      </w:r>
      <w:r>
        <w:rPr>
          <w:spacing w:val="-18"/>
        </w:rPr>
        <w:t> </w:t>
      </w:r>
      <w:r>
        <w:rPr/>
        <w:t>rozdílní.</w:t>
      </w:r>
    </w:p>
    <w:p>
      <w:pPr>
        <w:pStyle w:val="BodyText"/>
        <w:spacing w:before="6"/>
        <w:rPr>
          <w:sz w:val="28"/>
        </w:rPr>
      </w:pPr>
    </w:p>
    <w:p>
      <w:pPr>
        <w:pStyle w:val="BodyText"/>
        <w:spacing w:line="357" w:lineRule="auto"/>
        <w:ind w:left="106" w:right="1737"/>
        <w:jc w:val="both"/>
      </w:pPr>
      <w:r>
        <w:rPr/>
        <w:t>O pět let později využil Steven Spielberg elektrické vozy Renault při natáčení filmu „Ready Player One: Hra začíná“ („Ready Player One“). V postapokalyptickém světě uvrženém do chaosu se na ulicích města objevuje několik kusů modelu městského elektrického vozidla Renault Twizy.</w:t>
      </w:r>
    </w:p>
    <w:p>
      <w:pPr>
        <w:spacing w:after="0" w:line="357" w:lineRule="auto"/>
        <w:jc w:val="both"/>
        <w:sectPr>
          <w:headerReference w:type="default" r:id="rId21"/>
          <w:pgSz w:w="11900" w:h="16820"/>
          <w:pgMar w:header="540" w:footer="0" w:top="1200" w:bottom="280" w:left="1540" w:right="740"/>
        </w:sectPr>
      </w:pPr>
    </w:p>
    <w:p>
      <w:pPr>
        <w:pStyle w:val="BodyText"/>
        <w:rPr>
          <w:sz w:val="20"/>
        </w:rPr>
      </w:pPr>
    </w:p>
    <w:p>
      <w:pPr>
        <w:pStyle w:val="BodyText"/>
        <w:rPr>
          <w:sz w:val="20"/>
        </w:rPr>
      </w:pPr>
    </w:p>
    <w:p>
      <w:pPr>
        <w:pStyle w:val="BodyText"/>
        <w:rPr>
          <w:sz w:val="20"/>
        </w:rPr>
      </w:pPr>
    </w:p>
    <w:p>
      <w:pPr>
        <w:pStyle w:val="BodyText"/>
        <w:spacing w:before="11"/>
        <w:rPr>
          <w:sz w:val="15"/>
        </w:rPr>
      </w:pPr>
    </w:p>
    <w:p>
      <w:pPr>
        <w:pStyle w:val="BodyText"/>
        <w:spacing w:line="352" w:lineRule="auto" w:before="93"/>
        <w:ind w:left="106" w:right="1734"/>
        <w:jc w:val="both"/>
      </w:pPr>
      <w:r>
        <w:rPr/>
        <w:t>Automobily Renault se objevily i v české kinematografii, a to intenzivně po dobu více jak deseti let od r.2000.</w:t>
      </w:r>
    </w:p>
    <w:p>
      <w:pPr>
        <w:pStyle w:val="BodyText"/>
        <w:spacing w:line="352" w:lineRule="auto" w:before="11"/>
        <w:ind w:left="106" w:right="1737"/>
        <w:jc w:val="both"/>
      </w:pPr>
      <w:r>
        <w:rPr/>
        <w:t>Strategie značky v České republice v oblasti české kinematografie byla po dlouhou dobu kompletní a systematická.</w:t>
      </w:r>
    </w:p>
    <w:p>
      <w:pPr>
        <w:pStyle w:val="BodyText"/>
        <w:spacing w:before="6"/>
        <w:rPr>
          <w:sz w:val="29"/>
        </w:rPr>
      </w:pPr>
    </w:p>
    <w:p>
      <w:pPr>
        <w:pStyle w:val="BodyText"/>
        <w:spacing w:line="355" w:lineRule="auto"/>
        <w:ind w:left="106" w:right="1733"/>
        <w:jc w:val="both"/>
      </w:pPr>
      <w:r>
        <w:rPr/>
        <w:t>Značka Renault se v České republice stala partnerem mnoha desítek filmů, které vznikly ve tvůrčích skupinách uznávaných a zkušených režisérů a scénáristů ale také partnerem filmů, tvůrci kterých teprve bjovali o přízeň publika a o své místo v řadách těch nejlepších profesionálů.</w:t>
      </w:r>
    </w:p>
    <w:p>
      <w:pPr>
        <w:pStyle w:val="BodyText"/>
        <w:spacing w:before="3"/>
        <w:rPr>
          <w:sz w:val="29"/>
        </w:rPr>
      </w:pPr>
    </w:p>
    <w:p>
      <w:pPr>
        <w:pStyle w:val="BodyText"/>
        <w:spacing w:line="355" w:lineRule="auto"/>
        <w:ind w:left="106" w:right="1733"/>
        <w:jc w:val="both"/>
      </w:pPr>
      <w:r>
        <w:rPr/>
        <w:t>Scéna, která asi nikoho nenechala chladným ve filmu Samotáři Davida Ondříčka (r. 2000) byla rozbití čelního skla baseballovou pálkou Mikim Křenem…nebo převrhnutí Laguny na střechu v polích ve filmu Výlet (Alice Nellis r.2002) s Ivou Janžurovou…</w:t>
      </w:r>
    </w:p>
    <w:p>
      <w:pPr>
        <w:pStyle w:val="BodyText"/>
        <w:spacing w:before="2"/>
        <w:rPr>
          <w:sz w:val="29"/>
        </w:rPr>
      </w:pPr>
    </w:p>
    <w:p>
      <w:pPr>
        <w:pStyle w:val="BodyText"/>
        <w:spacing w:line="355" w:lineRule="auto"/>
        <w:ind w:left="106" w:right="1736"/>
        <w:jc w:val="both"/>
      </w:pPr>
      <w:r>
        <w:rPr/>
        <w:t>Společnost Renault Česká republika, a.s. byla také přes deset let hlavním partnerem cen České filmové a televizní akademie Českého Lva (r.2000 - r.2013).</w:t>
      </w:r>
    </w:p>
    <w:p>
      <w:pPr>
        <w:pStyle w:val="BodyText"/>
        <w:rPr>
          <w:sz w:val="20"/>
        </w:rPr>
      </w:pPr>
    </w:p>
    <w:p>
      <w:pPr>
        <w:pStyle w:val="BodyText"/>
        <w:spacing w:before="3"/>
        <w:rPr>
          <w:sz w:val="24"/>
        </w:rPr>
      </w:pPr>
    </w:p>
    <w:p>
      <w:pPr>
        <w:spacing w:before="0"/>
        <w:ind w:left="176" w:right="0" w:firstLine="0"/>
        <w:jc w:val="left"/>
        <w:rPr>
          <w:rFonts w:ascii="Arial-BoldItalicMT" w:hAnsi="Arial-BoldItalicMT"/>
          <w:b/>
          <w:i/>
          <w:sz w:val="14"/>
        </w:rPr>
      </w:pPr>
      <w:r>
        <w:rPr>
          <w:rFonts w:ascii="Arial-BoldItalicMT" w:hAnsi="Arial-BoldItalicMT"/>
          <w:b/>
          <w:i/>
          <w:sz w:val="14"/>
        </w:rPr>
        <w:t>SPOLUPRÁCE RENAULTU NA FILMOVÝCH PROJEKTECH (výběr):</w:t>
      </w:r>
    </w:p>
    <w:p>
      <w:pPr>
        <w:spacing w:before="0"/>
        <w:ind w:left="176" w:right="0" w:firstLine="0"/>
        <w:jc w:val="left"/>
        <w:rPr>
          <w:rFonts w:ascii="Arial-BoldItalicMT" w:hAnsi="Arial-BoldItalicMT"/>
          <w:b/>
          <w:i/>
          <w:sz w:val="14"/>
        </w:rPr>
      </w:pPr>
      <w:r>
        <w:rPr>
          <w:rFonts w:ascii="Arial-BoldItalicMT" w:hAnsi="Arial-BoldItalicMT"/>
          <w:b/>
          <w:i/>
          <w:sz w:val="14"/>
        </w:rPr>
        <w:t>Samotáři / David Ondříček, r. 2000 / Miki Křen ničí baseballovou pálkou přední sklo vínového modelu Megane Classic….</w:t>
      </w:r>
    </w:p>
    <w:p>
      <w:pPr>
        <w:spacing w:before="0"/>
        <w:ind w:left="519" w:right="0" w:hanging="344"/>
        <w:jc w:val="left"/>
        <w:rPr>
          <w:rFonts w:ascii="Arial-BoldItalicMT" w:hAnsi="Arial-BoldItalicMT"/>
          <w:b/>
          <w:i/>
          <w:sz w:val="14"/>
        </w:rPr>
      </w:pPr>
      <w:r>
        <w:rPr>
          <w:rFonts w:ascii="Arial-BoldItalicMT" w:hAnsi="Arial-BoldItalicMT"/>
          <w:b/>
          <w:i/>
          <w:sz w:val="14"/>
        </w:rPr>
        <w:t>Cesta z města / Tomáš Vorel, r. 2001 / ……stříbrný Scénic je nejen dopravním prostředkem, ale i dočasným domovem programátora Honzy, alias Tomáše Hanáka</w:t>
      </w:r>
    </w:p>
    <w:p>
      <w:pPr>
        <w:spacing w:line="244" w:lineRule="auto" w:before="0"/>
        <w:ind w:left="176" w:right="1145" w:firstLine="0"/>
        <w:jc w:val="left"/>
        <w:rPr>
          <w:rFonts w:ascii="Arial-BoldItalicMT" w:hAnsi="Arial-BoldItalicMT"/>
          <w:b/>
          <w:i/>
          <w:sz w:val="14"/>
        </w:rPr>
      </w:pPr>
      <w:r>
        <w:rPr>
          <w:rFonts w:ascii="Arial-BoldItalicMT" w:hAnsi="Arial-BoldItalicMT"/>
          <w:b/>
          <w:i/>
          <w:sz w:val="14"/>
        </w:rPr>
        <w:t>Cabriolet / Marcel Bystroň, r. 2001 / Přimkněte se k sobě, nikoho jiného stejně nemáte…….aneb sen o červeném cabrioletu… Amelie z Montmartru / Jean-Pierre Jeunet, r. 2001 / Film, který se dívá na svět pozitivně……</w:t>
      </w:r>
    </w:p>
    <w:p>
      <w:pPr>
        <w:spacing w:line="157" w:lineRule="exact" w:before="0"/>
        <w:ind w:left="176" w:right="0" w:firstLine="0"/>
        <w:jc w:val="left"/>
        <w:rPr>
          <w:rFonts w:ascii="Arial-BoldItalicMT" w:hAnsi="Arial-BoldItalicMT"/>
          <w:b/>
          <w:i/>
          <w:sz w:val="14"/>
        </w:rPr>
      </w:pPr>
      <w:r>
        <w:rPr>
          <w:rFonts w:ascii="Arial-BoldItalicMT" w:hAnsi="Arial-BoldItalicMT"/>
          <w:b/>
          <w:i/>
          <w:sz w:val="14"/>
        </w:rPr>
        <w:t>Výlet / Alice Nellis, r. 2002 / Co si doma neřeknete, dozvíte se cestou….v Renaultu Laguně…..</w:t>
      </w:r>
    </w:p>
    <w:p>
      <w:pPr>
        <w:spacing w:before="0"/>
        <w:ind w:left="176" w:right="1434" w:firstLine="0"/>
        <w:jc w:val="left"/>
        <w:rPr>
          <w:rFonts w:ascii="Arial-BoldItalicMT" w:hAnsi="Arial-BoldItalicMT"/>
          <w:b/>
          <w:i/>
          <w:sz w:val="14"/>
        </w:rPr>
      </w:pPr>
      <w:r>
        <w:rPr>
          <w:rFonts w:ascii="Arial-BoldItalicMT" w:hAnsi="Arial-BoldItalicMT"/>
          <w:b/>
          <w:i/>
          <w:sz w:val="14"/>
        </w:rPr>
        <w:t>Sen / Miloš J. Kohout, r. 2002 / Muž sedí bez jakéhokoliv náznaku pohybu…zdá se, že spí…..Karel Roden opravdu spí….. Děvčátko / Benjamin Tuček, r. 2002 / …..na cestě mezi byty, postelemi a sny…..s Ondřejem Vetchým coby taxikářem…. Jedna ruka netleská / David Ondříček, r. 2003</w:t>
      </w:r>
    </w:p>
    <w:p>
      <w:pPr>
        <w:spacing w:before="0"/>
        <w:ind w:left="176" w:right="7221" w:firstLine="0"/>
        <w:jc w:val="left"/>
        <w:rPr>
          <w:rFonts w:ascii="Arial-BoldItalicMT" w:hAnsi="Arial-BoldItalicMT"/>
          <w:b/>
          <w:i/>
          <w:sz w:val="14"/>
        </w:rPr>
      </w:pPr>
      <w:r>
        <w:rPr>
          <w:rFonts w:ascii="Arial-BoldItalicMT" w:hAnsi="Arial-BoldItalicMT"/>
          <w:b/>
          <w:i/>
          <w:sz w:val="14"/>
        </w:rPr>
        <w:t>Želary / Ondřej Trojan, r. 2003 Pupendo / Jan Hřebejk, r. 2003 Náměstíčko / Tv seriál ČT1 / 2004</w:t>
      </w:r>
    </w:p>
    <w:p>
      <w:pPr>
        <w:spacing w:before="0"/>
        <w:ind w:left="176" w:right="351" w:firstLine="0"/>
        <w:jc w:val="left"/>
        <w:rPr>
          <w:rFonts w:ascii="Arial-BoldItalicMT" w:hAnsi="Arial-BoldItalicMT"/>
          <w:b/>
          <w:i/>
          <w:sz w:val="14"/>
        </w:rPr>
      </w:pPr>
      <w:r>
        <w:rPr>
          <w:rFonts w:ascii="Arial-BoldItalicMT" w:hAnsi="Arial-BoldItalicMT"/>
          <w:b/>
          <w:i/>
          <w:sz w:val="14"/>
        </w:rPr>
        <w:t>Vaterland – lovecký deník / David Jařab, r. 2004 / „Když kopneš do stromu, nespadne ti na hlavu strom, ale veverka. Je to sice malé zvíře ale když padá z dosti velké výšky, může ti i ona zlámat vaz.“</w:t>
      </w:r>
    </w:p>
    <w:p>
      <w:pPr>
        <w:spacing w:before="0"/>
        <w:ind w:left="176" w:right="2849" w:firstLine="0"/>
        <w:jc w:val="left"/>
        <w:rPr>
          <w:rFonts w:ascii="Arial-BoldItalicMT" w:hAnsi="Arial-BoldItalicMT"/>
          <w:b/>
          <w:i/>
          <w:sz w:val="14"/>
        </w:rPr>
      </w:pPr>
      <w:r>
        <w:rPr>
          <w:rFonts w:ascii="Arial-BoldItalicMT" w:hAnsi="Arial-BoldItalicMT"/>
          <w:b/>
          <w:i/>
          <w:sz w:val="14"/>
        </w:rPr>
        <w:t>Horem pádem / Jan Hřebejk 2004 / Komedie, která vás rozpláče, drama, které vás rozesměje. Doblba / Petr Vachler / - 2005</w:t>
      </w:r>
    </w:p>
    <w:p>
      <w:pPr>
        <w:spacing w:line="242" w:lineRule="auto" w:before="0"/>
        <w:ind w:left="176" w:right="6537" w:firstLine="0"/>
        <w:jc w:val="left"/>
        <w:rPr>
          <w:rFonts w:ascii="Arial-BoldItalicMT" w:hAnsi="Arial-BoldItalicMT"/>
          <w:b/>
          <w:i/>
          <w:sz w:val="14"/>
        </w:rPr>
      </w:pPr>
      <w:r>
        <w:rPr>
          <w:rFonts w:ascii="Arial-BoldItalicMT" w:hAnsi="Arial-BoldItalicMT"/>
          <w:b/>
          <w:i/>
          <w:sz w:val="14"/>
        </w:rPr>
        <w:t>Indián a sestřička / Dan Wlodarczyk / - 2006 Grandhotel / Davis Ondříček / - 2006 ,</w:t>
      </w:r>
    </w:p>
    <w:p>
      <w:pPr>
        <w:spacing w:before="0"/>
        <w:ind w:left="176" w:right="6521" w:firstLine="0"/>
        <w:jc w:val="left"/>
        <w:rPr>
          <w:rFonts w:ascii="Arial-BoldItalicMT" w:hAnsi="Arial-BoldItalicMT"/>
          <w:b/>
          <w:i/>
          <w:sz w:val="14"/>
        </w:rPr>
      </w:pPr>
      <w:r>
        <w:rPr>
          <w:rFonts w:ascii="Arial-BoldItalicMT" w:hAnsi="Arial-BoldItalicMT"/>
          <w:b/>
          <w:i/>
          <w:sz w:val="14"/>
        </w:rPr>
        <w:t>Líbáš jako dáběl / Marie Poledňáková / 2011 Bastardi /2012/</w:t>
      </w:r>
    </w:p>
    <w:p>
      <w:pPr>
        <w:spacing w:line="161" w:lineRule="exact" w:before="0"/>
        <w:ind w:left="176" w:right="0" w:firstLine="0"/>
        <w:jc w:val="left"/>
        <w:rPr>
          <w:rFonts w:ascii="Arial-BoldItalicMT" w:hAnsi="Arial-BoldItalicMT"/>
          <w:b/>
          <w:i/>
          <w:sz w:val="14"/>
        </w:rPr>
      </w:pPr>
      <w:r>
        <w:rPr>
          <w:rFonts w:ascii="Arial-BoldItalicMT" w:hAnsi="Arial-BoldItalicMT"/>
          <w:b/>
          <w:i/>
          <w:sz w:val="14"/>
        </w:rPr>
        <w:t>a mnoho dalších filmů, seriálů a projektů.</w:t>
      </w:r>
    </w:p>
    <w:p>
      <w:pPr>
        <w:pStyle w:val="BodyText"/>
        <w:rPr>
          <w:rFonts w:ascii="Arial-BoldItalicMT"/>
          <w:b/>
          <w:i/>
          <w:sz w:val="16"/>
        </w:rPr>
      </w:pPr>
    </w:p>
    <w:p>
      <w:pPr>
        <w:pStyle w:val="BodyText"/>
        <w:rPr>
          <w:rFonts w:ascii="Arial-BoldItalicMT"/>
          <w:b/>
          <w:i/>
          <w:sz w:val="16"/>
        </w:rPr>
      </w:pPr>
    </w:p>
    <w:p>
      <w:pPr>
        <w:pStyle w:val="BodyText"/>
        <w:spacing w:before="2"/>
        <w:rPr>
          <w:rFonts w:ascii="Arial-BoldItalicMT"/>
          <w:b/>
          <w:i/>
          <w:sz w:val="18"/>
        </w:rPr>
      </w:pPr>
    </w:p>
    <w:p>
      <w:pPr>
        <w:spacing w:line="183" w:lineRule="exact" w:before="0"/>
        <w:ind w:left="106" w:right="0" w:firstLine="0"/>
        <w:jc w:val="left"/>
        <w:rPr>
          <w:sz w:val="16"/>
        </w:rPr>
      </w:pPr>
      <w:r>
        <w:rPr>
          <w:sz w:val="16"/>
        </w:rPr>
        <w:t>RENAULT</w:t>
      </w:r>
    </w:p>
    <w:p>
      <w:pPr>
        <w:spacing w:line="183" w:lineRule="exact" w:before="0"/>
        <w:ind w:left="106" w:right="0" w:firstLine="0"/>
        <w:jc w:val="left"/>
        <w:rPr>
          <w:sz w:val="16"/>
        </w:rPr>
      </w:pPr>
      <w:r>
        <w:rPr>
          <w:sz w:val="16"/>
        </w:rPr>
        <w:t>Jitka SKALIČKOVÁ</w:t>
      </w:r>
    </w:p>
    <w:p>
      <w:pPr>
        <w:spacing w:before="1"/>
        <w:ind w:left="106" w:right="0" w:firstLine="0"/>
        <w:jc w:val="left"/>
        <w:rPr>
          <w:sz w:val="16"/>
        </w:rPr>
      </w:pPr>
      <w:r>
        <w:rPr>
          <w:sz w:val="16"/>
        </w:rPr>
        <w:t>PR manager a tisková mluvčí</w:t>
      </w:r>
    </w:p>
    <w:p>
      <w:pPr>
        <w:spacing w:line="183" w:lineRule="exact" w:before="1"/>
        <w:ind w:left="106" w:right="0" w:firstLine="0"/>
        <w:jc w:val="left"/>
        <w:rPr>
          <w:sz w:val="16"/>
        </w:rPr>
      </w:pPr>
      <w:r>
        <w:rPr>
          <w:sz w:val="16"/>
        </w:rPr>
        <w:t>+420 222 3390111, +420 602275168</w:t>
      </w:r>
    </w:p>
    <w:p>
      <w:pPr>
        <w:spacing w:line="183" w:lineRule="exact" w:before="0"/>
        <w:ind w:left="106" w:right="0" w:firstLine="0"/>
        <w:jc w:val="left"/>
        <w:rPr>
          <w:sz w:val="16"/>
        </w:rPr>
      </w:pPr>
      <w:hyperlink r:id="rId23">
        <w:r>
          <w:rPr>
            <w:sz w:val="16"/>
          </w:rPr>
          <w:t>jitka.skalickova@renault.cz</w:t>
        </w:r>
      </w:hyperlink>
    </w:p>
    <w:p>
      <w:pPr>
        <w:pStyle w:val="BodyText"/>
        <w:spacing w:before="1"/>
        <w:rPr>
          <w:sz w:val="16"/>
        </w:rPr>
      </w:pPr>
    </w:p>
    <w:p>
      <w:pPr>
        <w:spacing w:before="1"/>
        <w:ind w:left="106" w:right="7552" w:firstLine="0"/>
        <w:jc w:val="left"/>
        <w:rPr>
          <w:sz w:val="16"/>
        </w:rPr>
      </w:pPr>
      <w:hyperlink r:id="rId24">
        <w:r>
          <w:rPr>
            <w:sz w:val="16"/>
          </w:rPr>
          <w:t>www.media.renault.com</w:t>
        </w:r>
      </w:hyperlink>
      <w:r>
        <w:rPr>
          <w:sz w:val="16"/>
        </w:rPr>
        <w:t> </w:t>
      </w:r>
      <w:hyperlink r:id="rId25">
        <w:r>
          <w:rPr>
            <w:sz w:val="16"/>
          </w:rPr>
          <w:t>www.group.renault.com</w:t>
        </w:r>
      </w:hyperlink>
      <w:r>
        <w:rPr>
          <w:sz w:val="16"/>
        </w:rPr>
        <w:t> Twitter :</w:t>
      </w:r>
      <w:r>
        <w:rPr>
          <w:spacing w:val="-8"/>
          <w:sz w:val="16"/>
        </w:rPr>
        <w:t> </w:t>
      </w:r>
      <w:r>
        <w:rPr>
          <w:sz w:val="16"/>
        </w:rPr>
        <w:t>@Groupe_Renault</w:t>
      </w:r>
    </w:p>
    <w:p>
      <w:pPr>
        <w:spacing w:before="0"/>
        <w:ind w:left="106" w:right="6497" w:firstLine="0"/>
        <w:jc w:val="left"/>
        <w:rPr>
          <w:sz w:val="16"/>
        </w:rPr>
      </w:pPr>
      <w:r>
        <w:rPr>
          <w:sz w:val="16"/>
        </w:rPr>
        <w:t>https://</w:t>
      </w:r>
      <w:hyperlink r:id="rId26">
        <w:r>
          <w:rPr>
            <w:sz w:val="16"/>
          </w:rPr>
          <w:t>www.instagram.com/renault_cz/</w:t>
        </w:r>
      </w:hyperlink>
      <w:r>
        <w:rPr>
          <w:sz w:val="16"/>
        </w:rPr>
        <w:t> https://</w:t>
      </w:r>
      <w:hyperlink r:id="rId27">
        <w:r>
          <w:rPr>
            <w:sz w:val="16"/>
          </w:rPr>
          <w:t>www.facebook.com/renault.cz/</w:t>
        </w:r>
      </w:hyperlink>
      <w:r>
        <w:rPr>
          <w:sz w:val="16"/>
        </w:rPr>
        <w:t> https://</w:t>
      </w:r>
      <w:hyperlink r:id="rId28">
        <w:r>
          <w:rPr>
            <w:sz w:val="16"/>
          </w:rPr>
          <w:t>www.youtube.com/user/renaultCZE</w:t>
        </w:r>
      </w:hyperlink>
    </w:p>
    <w:sectPr>
      <w:pgSz w:w="11900" w:h="16820"/>
      <w:pgMar w:header="540" w:footer="0" w:top="1200" w:bottom="280" w:left="1540" w:right="7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BoldItalicMT">
    <w:altName w:val="Arial-BoldItalicMT"/>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8pt;margin-top:27.000023pt;width:539pt;height:33.950pt;mso-position-horizontal-relative:page;mso-position-vertical-relative:page;z-index:-251958272" filled="true" fillcolor="#ffcc33" stroked="false">
          <v:fill type="solid"/>
          <w10:wrap type="none"/>
        </v:rect>
      </w:pict>
    </w:r>
    <w:r>
      <w:rPr/>
      <w:pict>
        <v:shapetype id="_x0000_t202" o:spt="202" coordsize="21600,21600" path="m,l,21600r21600,l21600,xe">
          <v:stroke joinstyle="miter"/>
          <v:path gradientshapeok="t" o:connecttype="rect"/>
        </v:shapetype>
        <v:shape style="position:absolute;margin-left:264.850006pt;margin-top:36.840336pt;width:28.35pt;height:13.8pt;mso-position-horizontal-relative:page;mso-position-vertical-relative:page;z-index:-251957248" type="#_x0000_t202" filled="false" stroked="false">
          <v:textbox inset="0,0,0,0">
            <w:txbxContent>
              <w:p>
                <w:pPr>
                  <w:spacing w:before="14"/>
                  <w:ind w:left="20" w:right="0" w:firstLine="0"/>
                  <w:jc w:val="left"/>
                  <w:rPr>
                    <w:b/>
                    <w:sz w:val="21"/>
                  </w:rPr>
                </w:pPr>
                <w:r>
                  <w:rPr>
                    <w:b/>
                    <w:sz w:val="21"/>
                  </w:rPr>
                  <w:t>Úvod</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8pt;margin-top:27.000023pt;width:539pt;height:33.950pt;mso-position-horizontal-relative:page;mso-position-vertical-relative:page;z-index:-251956224" filled="true" fillcolor="#ffcc33" stroked="false">
          <v:fill type="solid"/>
          <w10:wrap type="none"/>
        </v:rect>
      </w:pict>
    </w:r>
    <w:r>
      <w:rPr/>
      <w:pict>
        <v:shape style="position:absolute;margin-left:228.009995pt;margin-top:36.840336pt;width:140.450pt;height:13.8pt;mso-position-horizontal-relative:page;mso-position-vertical-relative:page;z-index:-251955200" type="#_x0000_t202" filled="false" stroked="false">
          <v:textbox inset="0,0,0,0">
            <w:txbxContent>
              <w:p>
                <w:pPr>
                  <w:spacing w:before="14"/>
                  <w:ind w:left="20" w:right="0" w:firstLine="0"/>
                  <w:jc w:val="left"/>
                  <w:rPr>
                    <w:b/>
                    <w:sz w:val="21"/>
                  </w:rPr>
                </w:pPr>
                <w:r>
                  <w:rPr>
                    <w:b/>
                    <w:w w:val="105"/>
                    <w:sz w:val="21"/>
                  </w:rPr>
                  <w:t>Renault a filmové festivaly</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8pt;margin-top:27.000023pt;width:539pt;height:33.950pt;mso-position-horizontal-relative:page;mso-position-vertical-relative:page;z-index:-251954176" filled="true" fillcolor="#ffcc33" stroked="false">
          <v:fill type="solid"/>
          <w10:wrap type="none"/>
        </v:rect>
      </w:pict>
    </w:r>
    <w:r>
      <w:rPr/>
      <w:pict>
        <v:shape style="position:absolute;margin-left:137.259995pt;margin-top:36.840336pt;width:308.4pt;height:13.8pt;mso-position-horizontal-relative:page;mso-position-vertical-relative:page;z-index:-251953152" type="#_x0000_t202" filled="false" stroked="false">
          <v:textbox inset="0,0,0,0">
            <w:txbxContent>
              <w:p>
                <w:pPr>
                  <w:spacing w:before="14"/>
                  <w:ind w:left="20" w:right="0" w:firstLine="0"/>
                  <w:jc w:val="left"/>
                  <w:rPr>
                    <w:b/>
                    <w:sz w:val="21"/>
                  </w:rPr>
                </w:pPr>
                <w:r>
                  <w:rPr>
                    <w:b/>
                    <w:w w:val="105"/>
                    <w:sz w:val="21"/>
                  </w:rPr>
                  <w:t>Renault</w:t>
                </w:r>
                <w:r>
                  <w:rPr>
                    <w:b/>
                    <w:spacing w:val="-17"/>
                    <w:w w:val="105"/>
                    <w:sz w:val="21"/>
                  </w:rPr>
                  <w:t> </w:t>
                </w:r>
                <w:r>
                  <w:rPr>
                    <w:b/>
                    <w:spacing w:val="-4"/>
                    <w:w w:val="105"/>
                    <w:sz w:val="21"/>
                  </w:rPr>
                  <w:t>Type</w:t>
                </w:r>
                <w:r>
                  <w:rPr>
                    <w:b/>
                    <w:spacing w:val="-21"/>
                    <w:w w:val="105"/>
                    <w:sz w:val="21"/>
                  </w:rPr>
                  <w:t> </w:t>
                </w:r>
                <w:r>
                  <w:rPr>
                    <w:b/>
                    <w:w w:val="105"/>
                    <w:sz w:val="21"/>
                  </w:rPr>
                  <w:t>CB</w:t>
                </w:r>
                <w:r>
                  <w:rPr>
                    <w:b/>
                    <w:spacing w:val="-15"/>
                    <w:w w:val="105"/>
                    <w:sz w:val="21"/>
                  </w:rPr>
                  <w:t> </w:t>
                </w:r>
                <w:r>
                  <w:rPr>
                    <w:b/>
                    <w:w w:val="105"/>
                    <w:sz w:val="21"/>
                  </w:rPr>
                  <w:t>–</w:t>
                </w:r>
                <w:r>
                  <w:rPr>
                    <w:b/>
                    <w:spacing w:val="-16"/>
                    <w:w w:val="105"/>
                    <w:sz w:val="21"/>
                  </w:rPr>
                  <w:t> </w:t>
                </w:r>
                <w:r>
                  <w:rPr>
                    <w:b/>
                    <w:w w:val="105"/>
                    <w:sz w:val="21"/>
                  </w:rPr>
                  <w:t>„Titanic“,</w:t>
                </w:r>
                <w:r>
                  <w:rPr>
                    <w:b/>
                    <w:spacing w:val="-5"/>
                    <w:w w:val="105"/>
                    <w:sz w:val="21"/>
                  </w:rPr>
                  <w:t> </w:t>
                </w:r>
                <w:r>
                  <w:rPr>
                    <w:b/>
                    <w:w w:val="105"/>
                    <w:sz w:val="21"/>
                  </w:rPr>
                  <w:t>režisér</w:t>
                </w:r>
                <w:r>
                  <w:rPr>
                    <w:b/>
                    <w:spacing w:val="-12"/>
                    <w:w w:val="105"/>
                    <w:sz w:val="21"/>
                  </w:rPr>
                  <w:t> </w:t>
                </w:r>
                <w:r>
                  <w:rPr>
                    <w:b/>
                    <w:w w:val="105"/>
                    <w:sz w:val="21"/>
                  </w:rPr>
                  <w:t>James</w:t>
                </w:r>
                <w:r>
                  <w:rPr>
                    <w:b/>
                    <w:spacing w:val="-14"/>
                    <w:w w:val="105"/>
                    <w:sz w:val="21"/>
                  </w:rPr>
                  <w:t> </w:t>
                </w:r>
                <w:r>
                  <w:rPr>
                    <w:b/>
                    <w:w w:val="105"/>
                    <w:sz w:val="21"/>
                  </w:rPr>
                  <w:t>Cameron</w:t>
                </w:r>
                <w:r>
                  <w:rPr>
                    <w:b/>
                    <w:spacing w:val="-15"/>
                    <w:w w:val="105"/>
                    <w:sz w:val="21"/>
                  </w:rPr>
                  <w:t> </w:t>
                </w:r>
                <w:r>
                  <w:rPr>
                    <w:b/>
                    <w:w w:val="105"/>
                    <w:sz w:val="21"/>
                  </w:rPr>
                  <w:t>(1997)</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8pt;margin-top:27.000023pt;width:539pt;height:33.950pt;mso-position-horizontal-relative:page;mso-position-vertical-relative:page;z-index:-251952128" filled="true" fillcolor="#ffcc33" stroked="false">
          <v:fill type="solid"/>
          <w10:wrap type="none"/>
        </v:rect>
      </w:pict>
    </w:r>
    <w:r>
      <w:rPr/>
      <w:pict>
        <v:shape style="position:absolute;margin-left:90.223999pt;margin-top:36.840336pt;width:410.3pt;height:13.8pt;mso-position-horizontal-relative:page;mso-position-vertical-relative:page;z-index:-251951104" type="#_x0000_t202" filled="false" stroked="false">
          <v:textbox inset="0,0,0,0">
            <w:txbxContent>
              <w:p>
                <w:pPr>
                  <w:spacing w:before="14"/>
                  <w:ind w:left="20" w:right="0" w:firstLine="0"/>
                  <w:jc w:val="left"/>
                  <w:rPr>
                    <w:b/>
                    <w:sz w:val="21"/>
                  </w:rPr>
                </w:pPr>
                <w:r>
                  <w:rPr>
                    <w:b/>
                    <w:w w:val="105"/>
                    <w:sz w:val="21"/>
                  </w:rPr>
                  <w:t>Renault</w:t>
                </w:r>
                <w:r>
                  <w:rPr>
                    <w:b/>
                    <w:spacing w:val="-12"/>
                    <w:w w:val="105"/>
                    <w:sz w:val="21"/>
                  </w:rPr>
                  <w:t> </w:t>
                </w:r>
                <w:r>
                  <w:rPr>
                    <w:b/>
                    <w:w w:val="105"/>
                    <w:sz w:val="21"/>
                  </w:rPr>
                  <w:t>11</w:t>
                </w:r>
                <w:r>
                  <w:rPr>
                    <w:b/>
                    <w:spacing w:val="-11"/>
                    <w:w w:val="105"/>
                    <w:sz w:val="21"/>
                  </w:rPr>
                  <w:t> </w:t>
                </w:r>
                <w:r>
                  <w:rPr>
                    <w:b/>
                    <w:w w:val="105"/>
                    <w:sz w:val="21"/>
                  </w:rPr>
                  <w:t>–</w:t>
                </w:r>
                <w:r>
                  <w:rPr>
                    <w:b/>
                    <w:spacing w:val="-11"/>
                    <w:w w:val="105"/>
                    <w:sz w:val="21"/>
                  </w:rPr>
                  <w:t> </w:t>
                </w:r>
                <w:r>
                  <w:rPr>
                    <w:b/>
                    <w:w w:val="105"/>
                    <w:sz w:val="21"/>
                  </w:rPr>
                  <w:t>„Vyhlídka</w:t>
                </w:r>
                <w:r>
                  <w:rPr>
                    <w:b/>
                    <w:spacing w:val="-4"/>
                    <w:w w:val="105"/>
                    <w:sz w:val="21"/>
                  </w:rPr>
                  <w:t> </w:t>
                </w:r>
                <w:r>
                  <w:rPr>
                    <w:b/>
                    <w:w w:val="105"/>
                    <w:sz w:val="21"/>
                  </w:rPr>
                  <w:t>na</w:t>
                </w:r>
                <w:r>
                  <w:rPr>
                    <w:b/>
                    <w:spacing w:val="-4"/>
                    <w:w w:val="105"/>
                    <w:sz w:val="21"/>
                  </w:rPr>
                  <w:t> </w:t>
                </w:r>
                <w:r>
                  <w:rPr>
                    <w:b/>
                    <w:w w:val="105"/>
                    <w:sz w:val="21"/>
                  </w:rPr>
                  <w:t>vraždu“</w:t>
                </w:r>
                <w:r>
                  <w:rPr>
                    <w:b/>
                    <w:spacing w:val="-3"/>
                    <w:w w:val="105"/>
                    <w:sz w:val="21"/>
                  </w:rPr>
                  <w:t> </w:t>
                </w:r>
                <w:r>
                  <w:rPr>
                    <w:b/>
                    <w:w w:val="105"/>
                    <w:sz w:val="21"/>
                  </w:rPr>
                  <w:t>(„A</w:t>
                </w:r>
                <w:r>
                  <w:rPr>
                    <w:b/>
                    <w:spacing w:val="-9"/>
                    <w:w w:val="105"/>
                    <w:sz w:val="21"/>
                  </w:rPr>
                  <w:t> </w:t>
                </w:r>
                <w:r>
                  <w:rPr>
                    <w:b/>
                    <w:w w:val="105"/>
                    <w:sz w:val="21"/>
                  </w:rPr>
                  <w:t>View</w:t>
                </w:r>
                <w:r>
                  <w:rPr>
                    <w:b/>
                    <w:spacing w:val="-10"/>
                    <w:w w:val="105"/>
                    <w:sz w:val="21"/>
                  </w:rPr>
                  <w:t> </w:t>
                </w:r>
                <w:r>
                  <w:rPr>
                    <w:b/>
                    <w:w w:val="105"/>
                    <w:sz w:val="21"/>
                  </w:rPr>
                  <w:t>to</w:t>
                </w:r>
                <w:r>
                  <w:rPr>
                    <w:b/>
                    <w:spacing w:val="-11"/>
                    <w:w w:val="105"/>
                    <w:sz w:val="21"/>
                  </w:rPr>
                  <w:t> </w:t>
                </w:r>
                <w:r>
                  <w:rPr>
                    <w:b/>
                    <w:w w:val="105"/>
                    <w:sz w:val="21"/>
                  </w:rPr>
                  <w:t>a</w:t>
                </w:r>
                <w:r>
                  <w:rPr>
                    <w:b/>
                    <w:spacing w:val="-11"/>
                    <w:w w:val="105"/>
                    <w:sz w:val="21"/>
                  </w:rPr>
                  <w:t> </w:t>
                </w:r>
                <w:r>
                  <w:rPr>
                    <w:b/>
                    <w:w w:val="105"/>
                    <w:sz w:val="21"/>
                  </w:rPr>
                  <w:t>Kill“),</w:t>
                </w:r>
                <w:r>
                  <w:rPr>
                    <w:b/>
                    <w:spacing w:val="-12"/>
                    <w:w w:val="105"/>
                    <w:sz w:val="21"/>
                  </w:rPr>
                  <w:t> </w:t>
                </w:r>
                <w:r>
                  <w:rPr>
                    <w:b/>
                    <w:w w:val="105"/>
                    <w:sz w:val="21"/>
                  </w:rPr>
                  <w:t>režisér</w:t>
                </w:r>
                <w:r>
                  <w:rPr>
                    <w:b/>
                    <w:spacing w:val="-10"/>
                    <w:w w:val="105"/>
                    <w:sz w:val="21"/>
                  </w:rPr>
                  <w:t> </w:t>
                </w:r>
                <w:r>
                  <w:rPr>
                    <w:b/>
                    <w:w w:val="105"/>
                    <w:sz w:val="21"/>
                  </w:rPr>
                  <w:t>John</w:t>
                </w:r>
                <w:r>
                  <w:rPr>
                    <w:b/>
                    <w:spacing w:val="-7"/>
                    <w:w w:val="105"/>
                    <w:sz w:val="21"/>
                  </w:rPr>
                  <w:t> </w:t>
                </w:r>
                <w:r>
                  <w:rPr>
                    <w:b/>
                    <w:w w:val="105"/>
                    <w:sz w:val="21"/>
                  </w:rPr>
                  <w:t>Glen</w:t>
                </w:r>
                <w:r>
                  <w:rPr>
                    <w:b/>
                    <w:spacing w:val="-9"/>
                    <w:w w:val="105"/>
                    <w:sz w:val="21"/>
                  </w:rPr>
                  <w:t> </w:t>
                </w:r>
                <w:r>
                  <w:rPr>
                    <w:b/>
                    <w:w w:val="105"/>
                    <w:sz w:val="21"/>
                  </w:rPr>
                  <w:t>(1985)</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8pt;margin-top:27.000023pt;width:539pt;height:33.950pt;mso-position-horizontal-relative:page;mso-position-vertical-relative:page;z-index:-251950080" filled="true" fillcolor="#ffcc33" stroked="false">
          <v:fill type="solid"/>
          <w10:wrap type="none"/>
        </v:rect>
      </w:pict>
    </w:r>
    <w:r>
      <w:rPr/>
      <w:pict>
        <v:shape style="position:absolute;margin-left:163.419998pt;margin-top:36.720333pt;width:258.3pt;height:13.8pt;mso-position-horizontal-relative:page;mso-position-vertical-relative:page;z-index:-251949056" type="#_x0000_t202" filled="false" stroked="false">
          <v:textbox inset="0,0,0,0">
            <w:txbxContent>
              <w:p>
                <w:pPr>
                  <w:spacing w:before="14"/>
                  <w:ind w:left="20" w:right="0" w:firstLine="0"/>
                  <w:jc w:val="left"/>
                  <w:rPr>
                    <w:b/>
                    <w:sz w:val="21"/>
                  </w:rPr>
                </w:pPr>
                <w:r>
                  <w:rPr>
                    <w:b/>
                    <w:w w:val="105"/>
                    <w:sz w:val="21"/>
                  </w:rPr>
                  <w:t>Od</w:t>
                </w:r>
                <w:r>
                  <w:rPr>
                    <w:b/>
                    <w:spacing w:val="-15"/>
                    <w:w w:val="105"/>
                    <w:sz w:val="21"/>
                  </w:rPr>
                  <w:t> </w:t>
                </w:r>
                <w:r>
                  <w:rPr>
                    <w:b/>
                    <w:w w:val="105"/>
                    <w:sz w:val="21"/>
                  </w:rPr>
                  <w:t>„Návštěvníků“</w:t>
                </w:r>
                <w:r>
                  <w:rPr>
                    <w:b/>
                    <w:spacing w:val="-4"/>
                    <w:w w:val="105"/>
                    <w:sz w:val="21"/>
                  </w:rPr>
                  <w:t> </w:t>
                </w:r>
                <w:r>
                  <w:rPr>
                    <w:b/>
                    <w:w w:val="105"/>
                    <w:sz w:val="21"/>
                  </w:rPr>
                  <w:t>po</w:t>
                </w:r>
                <w:r>
                  <w:rPr>
                    <w:b/>
                    <w:spacing w:val="-14"/>
                    <w:w w:val="105"/>
                    <w:sz w:val="21"/>
                  </w:rPr>
                  <w:t> </w:t>
                </w:r>
                <w:r>
                  <w:rPr>
                    <w:b/>
                    <w:w w:val="105"/>
                    <w:sz w:val="21"/>
                  </w:rPr>
                  <w:t>„Brigádu</w:t>
                </w:r>
                <w:r>
                  <w:rPr>
                    <w:b/>
                    <w:spacing w:val="-14"/>
                    <w:w w:val="105"/>
                    <w:sz w:val="21"/>
                  </w:rPr>
                  <w:t> </w:t>
                </w:r>
                <w:r>
                  <w:rPr>
                    <w:b/>
                    <w:w w:val="105"/>
                    <w:sz w:val="21"/>
                  </w:rPr>
                  <w:t>tygrů“,</w:t>
                </w:r>
                <w:r>
                  <w:rPr>
                    <w:b/>
                    <w:spacing w:val="-17"/>
                    <w:w w:val="105"/>
                    <w:sz w:val="21"/>
                  </w:rPr>
                  <w:t> </w:t>
                </w:r>
                <w:r>
                  <w:rPr>
                    <w:b/>
                    <w:w w:val="105"/>
                    <w:sz w:val="21"/>
                  </w:rPr>
                  <w:t>1990–2000</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8pt;margin-top:27.000023pt;width:539pt;height:33.950pt;mso-position-horizontal-relative:page;mso-position-vertical-relative:page;z-index:-251948032" filled="true" fillcolor="#ffcc33" stroked="false">
          <v:fill type="solid"/>
          <w10:wrap type="none"/>
        </v:rect>
      </w:pict>
    </w:r>
    <w:r>
      <w:rPr/>
      <w:pict>
        <v:shape style="position:absolute;margin-left:120.940002pt;margin-top:32.040333pt;width:291.4pt;height:13.8pt;mso-position-horizontal-relative:page;mso-position-vertical-relative:page;z-index:-251947008" type="#_x0000_t202" filled="false" stroked="false">
          <v:textbox inset="0,0,0,0">
            <w:txbxContent>
              <w:p>
                <w:pPr>
                  <w:spacing w:before="14"/>
                  <w:ind w:left="20" w:right="0" w:firstLine="0"/>
                  <w:jc w:val="left"/>
                  <w:rPr>
                    <w:b/>
                    <w:sz w:val="21"/>
                  </w:rPr>
                </w:pPr>
                <w:r>
                  <w:rPr>
                    <w:b/>
                    <w:w w:val="105"/>
                    <w:sz w:val="21"/>
                  </w:rPr>
                  <w:t>Od</w:t>
                </w:r>
                <w:r>
                  <w:rPr>
                    <w:b/>
                    <w:spacing w:val="-10"/>
                    <w:w w:val="105"/>
                    <w:sz w:val="21"/>
                  </w:rPr>
                  <w:t> </w:t>
                </w:r>
                <w:r>
                  <w:rPr>
                    <w:b/>
                    <w:w w:val="105"/>
                    <w:sz w:val="21"/>
                  </w:rPr>
                  <w:t>Jacquesa</w:t>
                </w:r>
                <w:r>
                  <w:rPr>
                    <w:b/>
                    <w:spacing w:val="-13"/>
                    <w:w w:val="105"/>
                    <w:sz w:val="21"/>
                  </w:rPr>
                  <w:t> </w:t>
                </w:r>
                <w:r>
                  <w:rPr>
                    <w:b/>
                    <w:spacing w:val="-5"/>
                    <w:w w:val="105"/>
                    <w:sz w:val="21"/>
                  </w:rPr>
                  <w:t>Tatiho</w:t>
                </w:r>
                <w:r>
                  <w:rPr>
                    <w:b/>
                    <w:spacing w:val="-14"/>
                    <w:w w:val="105"/>
                    <w:sz w:val="21"/>
                  </w:rPr>
                  <w:t> </w:t>
                </w:r>
                <w:r>
                  <w:rPr>
                    <w:b/>
                    <w:w w:val="105"/>
                    <w:sz w:val="21"/>
                  </w:rPr>
                  <w:t>k</w:t>
                </w:r>
                <w:r>
                  <w:rPr>
                    <w:b/>
                    <w:spacing w:val="-22"/>
                    <w:w w:val="105"/>
                    <w:sz w:val="21"/>
                  </w:rPr>
                  <w:t> </w:t>
                </w:r>
                <w:r>
                  <w:rPr>
                    <w:b/>
                    <w:w w:val="105"/>
                    <w:sz w:val="21"/>
                  </w:rPr>
                  <w:t>Jamesu</w:t>
                </w:r>
                <w:r>
                  <w:rPr>
                    <w:b/>
                    <w:spacing w:val="-9"/>
                    <w:w w:val="105"/>
                    <w:sz w:val="21"/>
                  </w:rPr>
                  <w:t> </w:t>
                </w:r>
                <w:r>
                  <w:rPr>
                    <w:b/>
                    <w:w w:val="105"/>
                    <w:sz w:val="21"/>
                  </w:rPr>
                  <w:t>Bondovi,</w:t>
                </w:r>
                <w:r>
                  <w:rPr>
                    <w:b/>
                    <w:spacing w:val="-12"/>
                    <w:w w:val="105"/>
                    <w:sz w:val="21"/>
                  </w:rPr>
                  <w:t> </w:t>
                </w:r>
                <w:r>
                  <w:rPr>
                    <w:b/>
                    <w:w w:val="105"/>
                    <w:sz w:val="21"/>
                  </w:rPr>
                  <w:t>od 40.</w:t>
                </w:r>
                <w:r>
                  <w:rPr>
                    <w:b/>
                    <w:spacing w:val="-1"/>
                    <w:w w:val="105"/>
                    <w:sz w:val="21"/>
                  </w:rPr>
                  <w:t> </w:t>
                </w:r>
                <w:r>
                  <w:rPr>
                    <w:b/>
                    <w:w w:val="105"/>
                    <w:sz w:val="21"/>
                  </w:rPr>
                  <w:t>do 80.</w:t>
                </w:r>
                <w:r>
                  <w:rPr>
                    <w:b/>
                    <w:spacing w:val="-1"/>
                    <w:w w:val="105"/>
                    <w:sz w:val="21"/>
                  </w:rPr>
                  <w:t> </w:t>
                </w:r>
                <w:r>
                  <w:rPr>
                    <w:b/>
                    <w:w w:val="105"/>
                    <w:sz w:val="21"/>
                  </w:rPr>
                  <w:t>let</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8pt;margin-top:27.000023pt;width:539pt;height:33.950pt;mso-position-horizontal-relative:page;mso-position-vertical-relative:page;z-index:-251945984" filled="true" fillcolor="#ffcc33" stroked="false">
          <v:fill type="solid"/>
          <w10:wrap type="none"/>
        </v:rect>
      </w:pict>
    </w:r>
    <w:r>
      <w:rPr/>
      <w:pict>
        <v:shape style="position:absolute;margin-left:189.729996pt;margin-top:36.840336pt;width:166.8pt;height:13.8pt;mso-position-horizontal-relative:page;mso-position-vertical-relative:page;z-index:-251944960" type="#_x0000_t202" filled="false" stroked="false">
          <v:textbox inset="0,0,0,0">
            <w:txbxContent>
              <w:p>
                <w:pPr>
                  <w:spacing w:before="14"/>
                  <w:ind w:left="20" w:right="0" w:firstLine="0"/>
                  <w:jc w:val="left"/>
                  <w:rPr>
                    <w:b/>
                    <w:sz w:val="21"/>
                  </w:rPr>
                </w:pPr>
                <w:r>
                  <w:rPr>
                    <w:b/>
                    <w:w w:val="105"/>
                    <w:sz w:val="21"/>
                  </w:rPr>
                  <w:t>Renault a česká kinematografie</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222" w:hanging="116"/>
      </w:pPr>
      <w:rPr>
        <w:rFonts w:hint="default" w:ascii="Arial" w:hAnsi="Arial" w:eastAsia="Arial" w:cs="Arial"/>
        <w:w w:val="99"/>
        <w:sz w:val="19"/>
        <w:szCs w:val="19"/>
        <w:lang w:val="cs-CZ" w:eastAsia="cs-CZ" w:bidi="cs-CZ"/>
      </w:rPr>
    </w:lvl>
    <w:lvl w:ilvl="1">
      <w:start w:val="0"/>
      <w:numFmt w:val="bullet"/>
      <w:lvlText w:val="•"/>
      <w:lvlJc w:val="left"/>
      <w:pPr>
        <w:ind w:left="1159" w:hanging="116"/>
      </w:pPr>
      <w:rPr>
        <w:rFonts w:hint="default"/>
        <w:lang w:val="cs-CZ" w:eastAsia="cs-CZ" w:bidi="cs-CZ"/>
      </w:rPr>
    </w:lvl>
    <w:lvl w:ilvl="2">
      <w:start w:val="0"/>
      <w:numFmt w:val="bullet"/>
      <w:lvlText w:val="•"/>
      <w:lvlJc w:val="left"/>
      <w:pPr>
        <w:ind w:left="2099" w:hanging="116"/>
      </w:pPr>
      <w:rPr>
        <w:rFonts w:hint="default"/>
        <w:lang w:val="cs-CZ" w:eastAsia="cs-CZ" w:bidi="cs-CZ"/>
      </w:rPr>
    </w:lvl>
    <w:lvl w:ilvl="3">
      <w:start w:val="0"/>
      <w:numFmt w:val="bullet"/>
      <w:lvlText w:val="•"/>
      <w:lvlJc w:val="left"/>
      <w:pPr>
        <w:ind w:left="3039" w:hanging="116"/>
      </w:pPr>
      <w:rPr>
        <w:rFonts w:hint="default"/>
        <w:lang w:val="cs-CZ" w:eastAsia="cs-CZ" w:bidi="cs-CZ"/>
      </w:rPr>
    </w:lvl>
    <w:lvl w:ilvl="4">
      <w:start w:val="0"/>
      <w:numFmt w:val="bullet"/>
      <w:lvlText w:val="•"/>
      <w:lvlJc w:val="left"/>
      <w:pPr>
        <w:ind w:left="3979" w:hanging="116"/>
      </w:pPr>
      <w:rPr>
        <w:rFonts w:hint="default"/>
        <w:lang w:val="cs-CZ" w:eastAsia="cs-CZ" w:bidi="cs-CZ"/>
      </w:rPr>
    </w:lvl>
    <w:lvl w:ilvl="5">
      <w:start w:val="0"/>
      <w:numFmt w:val="bullet"/>
      <w:lvlText w:val="•"/>
      <w:lvlJc w:val="left"/>
      <w:pPr>
        <w:ind w:left="4919" w:hanging="116"/>
      </w:pPr>
      <w:rPr>
        <w:rFonts w:hint="default"/>
        <w:lang w:val="cs-CZ" w:eastAsia="cs-CZ" w:bidi="cs-CZ"/>
      </w:rPr>
    </w:lvl>
    <w:lvl w:ilvl="6">
      <w:start w:val="0"/>
      <w:numFmt w:val="bullet"/>
      <w:lvlText w:val="•"/>
      <w:lvlJc w:val="left"/>
      <w:pPr>
        <w:ind w:left="5859" w:hanging="116"/>
      </w:pPr>
      <w:rPr>
        <w:rFonts w:hint="default"/>
        <w:lang w:val="cs-CZ" w:eastAsia="cs-CZ" w:bidi="cs-CZ"/>
      </w:rPr>
    </w:lvl>
    <w:lvl w:ilvl="7">
      <w:start w:val="0"/>
      <w:numFmt w:val="bullet"/>
      <w:lvlText w:val="•"/>
      <w:lvlJc w:val="left"/>
      <w:pPr>
        <w:ind w:left="6799" w:hanging="116"/>
      </w:pPr>
      <w:rPr>
        <w:rFonts w:hint="default"/>
        <w:lang w:val="cs-CZ" w:eastAsia="cs-CZ" w:bidi="cs-CZ"/>
      </w:rPr>
    </w:lvl>
    <w:lvl w:ilvl="8">
      <w:start w:val="0"/>
      <w:numFmt w:val="bullet"/>
      <w:lvlText w:val="•"/>
      <w:lvlJc w:val="left"/>
      <w:pPr>
        <w:ind w:left="7739" w:hanging="116"/>
      </w:pPr>
      <w:rPr>
        <w:rFonts w:hint="default"/>
        <w:lang w:val="cs-CZ" w:eastAsia="cs-CZ" w:bidi="cs-CZ"/>
      </w:rPr>
    </w:lvl>
  </w:abstractNum>
  <w:abstractNum w:abstractNumId="0">
    <w:multiLevelType w:val="hybridMultilevel"/>
    <w:lvl w:ilvl="0">
      <w:start w:val="12"/>
      <w:numFmt w:val="decimal"/>
      <w:lvlText w:val="%1."/>
      <w:lvlJc w:val="left"/>
      <w:pPr>
        <w:ind w:left="509" w:hanging="370"/>
        <w:jc w:val="left"/>
      </w:pPr>
      <w:rPr>
        <w:rFonts w:hint="default" w:ascii="Arial" w:hAnsi="Arial" w:eastAsia="Arial" w:cs="Arial"/>
        <w:color w:val="FFFFFF"/>
        <w:spacing w:val="-1"/>
        <w:w w:val="100"/>
        <w:sz w:val="22"/>
        <w:szCs w:val="22"/>
        <w:lang w:val="cs-CZ" w:eastAsia="cs-CZ" w:bidi="cs-CZ"/>
      </w:rPr>
    </w:lvl>
    <w:lvl w:ilvl="1">
      <w:start w:val="0"/>
      <w:numFmt w:val="bullet"/>
      <w:lvlText w:val="•"/>
      <w:lvlJc w:val="left"/>
      <w:pPr>
        <w:ind w:left="1059" w:hanging="360"/>
      </w:pPr>
      <w:rPr>
        <w:rFonts w:hint="default" w:ascii="Arial" w:hAnsi="Arial" w:eastAsia="Arial" w:cs="Arial"/>
        <w:w w:val="131"/>
        <w:sz w:val="22"/>
        <w:szCs w:val="22"/>
        <w:lang w:val="cs-CZ" w:eastAsia="cs-CZ" w:bidi="cs-CZ"/>
      </w:rPr>
    </w:lvl>
    <w:lvl w:ilvl="2">
      <w:start w:val="0"/>
      <w:numFmt w:val="bullet"/>
      <w:lvlText w:val="•"/>
      <w:lvlJc w:val="left"/>
      <w:pPr>
        <w:ind w:left="2011" w:hanging="360"/>
      </w:pPr>
      <w:rPr>
        <w:rFonts w:hint="default"/>
        <w:lang w:val="cs-CZ" w:eastAsia="cs-CZ" w:bidi="cs-CZ"/>
      </w:rPr>
    </w:lvl>
    <w:lvl w:ilvl="3">
      <w:start w:val="0"/>
      <w:numFmt w:val="bullet"/>
      <w:lvlText w:val="•"/>
      <w:lvlJc w:val="left"/>
      <w:pPr>
        <w:ind w:left="2962" w:hanging="360"/>
      </w:pPr>
      <w:rPr>
        <w:rFonts w:hint="default"/>
        <w:lang w:val="cs-CZ" w:eastAsia="cs-CZ" w:bidi="cs-CZ"/>
      </w:rPr>
    </w:lvl>
    <w:lvl w:ilvl="4">
      <w:start w:val="0"/>
      <w:numFmt w:val="bullet"/>
      <w:lvlText w:val="•"/>
      <w:lvlJc w:val="left"/>
      <w:pPr>
        <w:ind w:left="3913" w:hanging="360"/>
      </w:pPr>
      <w:rPr>
        <w:rFonts w:hint="default"/>
        <w:lang w:val="cs-CZ" w:eastAsia="cs-CZ" w:bidi="cs-CZ"/>
      </w:rPr>
    </w:lvl>
    <w:lvl w:ilvl="5">
      <w:start w:val="0"/>
      <w:numFmt w:val="bullet"/>
      <w:lvlText w:val="•"/>
      <w:lvlJc w:val="left"/>
      <w:pPr>
        <w:ind w:left="4864" w:hanging="360"/>
      </w:pPr>
      <w:rPr>
        <w:rFonts w:hint="default"/>
        <w:lang w:val="cs-CZ" w:eastAsia="cs-CZ" w:bidi="cs-CZ"/>
      </w:rPr>
    </w:lvl>
    <w:lvl w:ilvl="6">
      <w:start w:val="0"/>
      <w:numFmt w:val="bullet"/>
      <w:lvlText w:val="•"/>
      <w:lvlJc w:val="left"/>
      <w:pPr>
        <w:ind w:left="5815" w:hanging="360"/>
      </w:pPr>
      <w:rPr>
        <w:rFonts w:hint="default"/>
        <w:lang w:val="cs-CZ" w:eastAsia="cs-CZ" w:bidi="cs-CZ"/>
      </w:rPr>
    </w:lvl>
    <w:lvl w:ilvl="7">
      <w:start w:val="0"/>
      <w:numFmt w:val="bullet"/>
      <w:lvlText w:val="•"/>
      <w:lvlJc w:val="left"/>
      <w:pPr>
        <w:ind w:left="6766" w:hanging="360"/>
      </w:pPr>
      <w:rPr>
        <w:rFonts w:hint="default"/>
        <w:lang w:val="cs-CZ" w:eastAsia="cs-CZ" w:bidi="cs-CZ"/>
      </w:rPr>
    </w:lvl>
    <w:lvl w:ilvl="8">
      <w:start w:val="0"/>
      <w:numFmt w:val="bullet"/>
      <w:lvlText w:val="•"/>
      <w:lvlJc w:val="left"/>
      <w:pPr>
        <w:ind w:left="7717" w:hanging="360"/>
      </w:pPr>
      <w:rPr>
        <w:rFonts w:hint="default"/>
        <w:lang w:val="cs-CZ" w:eastAsia="cs-CZ" w:bidi="cs-CZ"/>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cs-CZ" w:eastAsia="cs-CZ" w:bidi="cs-CZ"/>
    </w:rPr>
  </w:style>
  <w:style w:styleId="BodyText" w:type="paragraph">
    <w:name w:val="Body Text"/>
    <w:basedOn w:val="Normal"/>
    <w:uiPriority w:val="1"/>
    <w:qFormat/>
    <w:pPr/>
    <w:rPr>
      <w:rFonts w:ascii="Arial" w:hAnsi="Arial" w:eastAsia="Arial" w:cs="Arial"/>
      <w:sz w:val="19"/>
      <w:szCs w:val="19"/>
      <w:lang w:val="cs-CZ" w:eastAsia="cs-CZ" w:bidi="cs-CZ"/>
    </w:rPr>
  </w:style>
  <w:style w:styleId="Heading1" w:type="paragraph">
    <w:name w:val="Heading 1"/>
    <w:basedOn w:val="Normal"/>
    <w:uiPriority w:val="1"/>
    <w:qFormat/>
    <w:pPr>
      <w:spacing w:before="172"/>
      <w:ind w:left="1059" w:hanging="361"/>
      <w:outlineLvl w:val="1"/>
    </w:pPr>
    <w:rPr>
      <w:rFonts w:ascii="Arial" w:hAnsi="Arial" w:eastAsia="Arial" w:cs="Arial"/>
      <w:b/>
      <w:bCs/>
      <w:sz w:val="22"/>
      <w:szCs w:val="22"/>
      <w:lang w:val="cs-CZ" w:eastAsia="cs-CZ" w:bidi="cs-CZ"/>
    </w:rPr>
  </w:style>
  <w:style w:styleId="ListParagraph" w:type="paragraph">
    <w:name w:val="List Paragraph"/>
    <w:basedOn w:val="Normal"/>
    <w:uiPriority w:val="1"/>
    <w:qFormat/>
    <w:pPr>
      <w:spacing w:before="108"/>
      <w:ind w:left="224" w:hanging="119"/>
    </w:pPr>
    <w:rPr>
      <w:rFonts w:ascii="Arial" w:hAnsi="Arial" w:eastAsia="Arial" w:cs="Arial"/>
      <w:lang w:val="cs-CZ" w:eastAsia="cs-CZ" w:bidi="cs-CZ"/>
    </w:rPr>
  </w:style>
  <w:style w:styleId="TableParagraph" w:type="paragraph">
    <w:name w:val="Table Paragraph"/>
    <w:basedOn w:val="Normal"/>
    <w:uiPriority w:val="1"/>
    <w:qFormat/>
    <w:pPr/>
    <w:rPr>
      <w:lang w:val="cs-CZ" w:eastAsia="cs-CZ" w:bidi="cs-CZ"/>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image" Target="media/image2.jpeg"/><Relationship Id="rId8" Type="http://schemas.openxmlformats.org/officeDocument/2006/relationships/header" Target="header2.xml"/><Relationship Id="rId9" Type="http://schemas.openxmlformats.org/officeDocument/2006/relationships/image" Target="media/image3.jpeg"/><Relationship Id="rId10" Type="http://schemas.openxmlformats.org/officeDocument/2006/relationships/header" Target="header3.xml"/><Relationship Id="rId11" Type="http://schemas.openxmlformats.org/officeDocument/2006/relationships/header" Target="header4.xml"/><Relationship Id="rId12" Type="http://schemas.openxmlformats.org/officeDocument/2006/relationships/image" Target="media/image4.png"/><Relationship Id="rId13" Type="http://schemas.openxmlformats.org/officeDocument/2006/relationships/header" Target="header5.xml"/><Relationship Id="rId14" Type="http://schemas.openxmlformats.org/officeDocument/2006/relationships/image" Target="media/image5.jpeg"/><Relationship Id="rId15" Type="http://schemas.openxmlformats.org/officeDocument/2006/relationships/header" Target="header6.xml"/><Relationship Id="rId16" Type="http://schemas.openxmlformats.org/officeDocument/2006/relationships/image" Target="media/image6.png"/><Relationship Id="rId17" Type="http://schemas.openxmlformats.org/officeDocument/2006/relationships/header" Target="header7.xml"/><Relationship Id="rId18" Type="http://schemas.openxmlformats.org/officeDocument/2006/relationships/image" Target="media/image7.jpeg"/><Relationship Id="rId19" Type="http://schemas.openxmlformats.org/officeDocument/2006/relationships/header" Target="header8.xml"/><Relationship Id="rId20" Type="http://schemas.openxmlformats.org/officeDocument/2006/relationships/image" Target="media/image8.jpeg"/><Relationship Id="rId21" Type="http://schemas.openxmlformats.org/officeDocument/2006/relationships/header" Target="header9.xml"/><Relationship Id="rId22" Type="http://schemas.openxmlformats.org/officeDocument/2006/relationships/image" Target="media/image9.jpeg"/><Relationship Id="rId23" Type="http://schemas.openxmlformats.org/officeDocument/2006/relationships/hyperlink" Target="mailto:jitka.skalickova@renault.cz" TargetMode="External"/><Relationship Id="rId24" Type="http://schemas.openxmlformats.org/officeDocument/2006/relationships/hyperlink" Target="http://www.media.renault.com/" TargetMode="External"/><Relationship Id="rId25" Type="http://schemas.openxmlformats.org/officeDocument/2006/relationships/hyperlink" Target="http://www.group.renault.com/" TargetMode="External"/><Relationship Id="rId26" Type="http://schemas.openxmlformats.org/officeDocument/2006/relationships/hyperlink" Target="http://www.instagram.com/renault_cz/" TargetMode="External"/><Relationship Id="rId27" Type="http://schemas.openxmlformats.org/officeDocument/2006/relationships/hyperlink" Target="http://www.facebook.com/renault.cz/" TargetMode="External"/><Relationship Id="rId28" Type="http://schemas.openxmlformats.org/officeDocument/2006/relationships/hyperlink" Target="http://www.youtube.com/user/renaultCZE" TargetMode="External"/><Relationship Id="rId2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dc:creator>
  <dcterms:created xsi:type="dcterms:W3CDTF">2020-05-12T19:27:44Z</dcterms:created>
  <dcterms:modified xsi:type="dcterms:W3CDTF">2020-05-12T19:27:44Z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2020-05-12T00:00:00Z</vt:filetime>
  </property>
  <property fmtid="{D5CDD505-2E9C-101B-9397-08002B2CF9AE}" pid="3" name="Creator">
    <vt:lpwstr>Microsoft® Word pro Office 365</vt:lpwstr>
  </property>
  <property fmtid="{D5CDD505-2E9C-101B-9397-08002B2CF9AE}" pid="4" name="LastSaved">
    <vt:filetime>2020-05-12T00:00:00Z</vt:filetime>
  </property>
</Properties>
</file>