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28"/>
        </w:rPr>
      </w:pPr>
    </w:p>
    <w:p>
      <w:pPr>
        <w:pStyle w:val="BodyText"/>
        <w:ind w:left="31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442757" cy="238125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2757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7"/>
        <w:rPr>
          <w:rFonts w:ascii="Times New Roman"/>
          <w:sz w:val="17"/>
        </w:rPr>
      </w:pPr>
    </w:p>
    <w:p>
      <w:pPr>
        <w:spacing w:before="92"/>
        <w:ind w:left="318" w:right="0" w:firstLine="0"/>
        <w:jc w:val="left"/>
        <w:rPr>
          <w:b/>
          <w:sz w:val="28"/>
        </w:rPr>
      </w:pPr>
      <w:r>
        <w:rPr>
          <w:b/>
          <w:color w:val="0F304B"/>
          <w:sz w:val="28"/>
        </w:rPr>
        <w:t>TISKOVÁ ZPRÁVA</w:t>
      </w:r>
    </w:p>
    <w:p>
      <w:pPr>
        <w:pStyle w:val="BodyText"/>
        <w:spacing w:before="1"/>
        <w:rPr>
          <w:b/>
          <w:sz w:val="28"/>
        </w:rPr>
      </w:pPr>
    </w:p>
    <w:p>
      <w:pPr>
        <w:spacing w:before="0"/>
        <w:ind w:left="318" w:right="0" w:firstLine="0"/>
        <w:jc w:val="both"/>
        <w:rPr>
          <w:sz w:val="16"/>
        </w:rPr>
      </w:pPr>
      <w:r>
        <w:rPr>
          <w:color w:val="0F304B"/>
          <w:sz w:val="16"/>
        </w:rPr>
        <w:t>2. dubna 2020</w:t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3"/>
        </w:rPr>
      </w:pPr>
    </w:p>
    <w:p>
      <w:pPr>
        <w:pStyle w:val="Heading1"/>
      </w:pPr>
      <w:r>
        <w:rPr/>
        <w:t>DACIA DUSTER</w:t>
      </w:r>
    </w:p>
    <w:p>
      <w:pPr>
        <w:spacing w:before="294"/>
        <w:ind w:left="913" w:right="911" w:firstLine="0"/>
        <w:jc w:val="center"/>
        <w:rPr>
          <w:b/>
          <w:sz w:val="44"/>
        </w:rPr>
      </w:pPr>
      <w:r>
        <w:rPr>
          <w:b/>
          <w:sz w:val="44"/>
        </w:rPr>
        <w:t>NOVÝ BENZINOVÝ MOTOR TCE 100</w:t>
      </w:r>
    </w:p>
    <w:p>
      <w:pPr>
        <w:pStyle w:val="BodyText"/>
        <w:rPr>
          <w:b/>
          <w:sz w:val="48"/>
        </w:rPr>
      </w:pPr>
    </w:p>
    <w:p>
      <w:pPr>
        <w:pStyle w:val="BodyText"/>
        <w:spacing w:before="9"/>
        <w:rPr>
          <w:b/>
          <w:sz w:val="42"/>
        </w:rPr>
      </w:pPr>
    </w:p>
    <w:p>
      <w:pPr>
        <w:pStyle w:val="Heading3"/>
        <w:numPr>
          <w:ilvl w:val="0"/>
          <w:numId w:val="1"/>
        </w:numPr>
        <w:tabs>
          <w:tab w:pos="294" w:val="left" w:leader="none"/>
        </w:tabs>
        <w:spacing w:line="240" w:lineRule="auto" w:before="0" w:after="0"/>
        <w:ind w:left="400" w:right="308" w:hanging="401"/>
        <w:jc w:val="right"/>
        <w:rPr>
          <w:rFonts w:ascii="Verdana-BoldItalic" w:hAnsi="Verdana-BoldItalic"/>
          <w:i/>
        </w:rPr>
      </w:pPr>
      <w:r>
        <w:rPr/>
        <w:t>Dacia</w:t>
      </w:r>
      <w:r>
        <w:rPr>
          <w:spacing w:val="41"/>
        </w:rPr>
        <w:t> </w:t>
      </w:r>
      <w:r>
        <w:rPr/>
        <w:t>rozšířila</w:t>
      </w:r>
      <w:r>
        <w:rPr>
          <w:spacing w:val="41"/>
        </w:rPr>
        <w:t> </w:t>
      </w:r>
      <w:r>
        <w:rPr/>
        <w:t>svou</w:t>
      </w:r>
      <w:r>
        <w:rPr>
          <w:spacing w:val="43"/>
        </w:rPr>
        <w:t> </w:t>
      </w:r>
      <w:r>
        <w:rPr/>
        <w:t>řadu</w:t>
      </w:r>
      <w:r>
        <w:rPr>
          <w:spacing w:val="43"/>
        </w:rPr>
        <w:t> </w:t>
      </w:r>
      <w:r>
        <w:rPr/>
        <w:t>motorů</w:t>
      </w:r>
      <w:r>
        <w:rPr>
          <w:spacing w:val="45"/>
        </w:rPr>
        <w:t> </w:t>
      </w:r>
      <w:r>
        <w:rPr/>
        <w:t>o</w:t>
      </w:r>
      <w:r>
        <w:rPr>
          <w:spacing w:val="40"/>
        </w:rPr>
        <w:t> </w:t>
      </w:r>
      <w:r>
        <w:rPr/>
        <w:t>nejnovější</w:t>
      </w:r>
      <w:r>
        <w:rPr>
          <w:spacing w:val="42"/>
        </w:rPr>
        <w:t> </w:t>
      </w:r>
      <w:r>
        <w:rPr/>
        <w:t>benzinový</w:t>
      </w:r>
      <w:r>
        <w:rPr>
          <w:spacing w:val="42"/>
        </w:rPr>
        <w:t> </w:t>
      </w:r>
      <w:r>
        <w:rPr/>
        <w:t>motor</w:t>
      </w:r>
      <w:r>
        <w:rPr>
          <w:spacing w:val="41"/>
        </w:rPr>
        <w:t> </w:t>
      </w:r>
      <w:r>
        <w:rPr>
          <w:rFonts w:ascii="Verdana-BoldItalic" w:hAnsi="Verdana-BoldItalic"/>
          <w:i/>
        </w:rPr>
        <w:t>TCe</w:t>
      </w:r>
    </w:p>
    <w:p>
      <w:pPr>
        <w:tabs>
          <w:tab w:pos="727" w:val="left" w:leader="none"/>
          <w:tab w:pos="1144" w:val="left" w:leader="none"/>
          <w:tab w:pos="1988" w:val="left" w:leader="none"/>
          <w:tab w:pos="3158" w:val="left" w:leader="none"/>
          <w:tab w:pos="4064" w:val="left" w:leader="none"/>
          <w:tab w:pos="4602" w:val="left" w:leader="none"/>
          <w:tab w:pos="5312" w:val="left" w:leader="none"/>
          <w:tab w:pos="5861" w:val="left" w:leader="none"/>
          <w:tab w:pos="6957" w:val="left" w:leader="none"/>
          <w:tab w:pos="7362" w:val="left" w:leader="none"/>
          <w:tab w:pos="8159" w:val="left" w:leader="none"/>
        </w:tabs>
        <w:spacing w:before="157"/>
        <w:ind w:left="0" w:right="314" w:firstLine="0"/>
        <w:jc w:val="right"/>
        <w:rPr>
          <w:rFonts w:ascii="Verdana" w:hAnsi="Verdana"/>
          <w:b/>
          <w:sz w:val="22"/>
        </w:rPr>
      </w:pPr>
      <w:r>
        <w:rPr>
          <w:rFonts w:ascii="Verdana-BoldItalic" w:hAnsi="Verdana-BoldItalic"/>
          <w:b/>
          <w:i/>
          <w:sz w:val="22"/>
        </w:rPr>
        <w:t>100</w:t>
        <w:tab/>
      </w:r>
      <w:r>
        <w:rPr>
          <w:rFonts w:ascii="Verdana" w:hAnsi="Verdana"/>
          <w:b/>
          <w:sz w:val="22"/>
        </w:rPr>
        <w:t>u</w:t>
        <w:tab/>
        <w:t>vozu</w:t>
        <w:tab/>
        <w:t>Duster,</w:t>
        <w:tab/>
        <w:t>který</w:t>
        <w:tab/>
        <w:t>se</w:t>
        <w:tab/>
        <w:t>stal</w:t>
        <w:tab/>
        <w:t>ve</w:t>
        <w:tab/>
        <w:t>Francii</w:t>
        <w:tab/>
        <w:t>v</w:t>
        <w:tab/>
        <w:t>roce</w:t>
        <w:tab/>
      </w:r>
      <w:r>
        <w:rPr>
          <w:rFonts w:ascii="Verdana" w:hAnsi="Verdana"/>
          <w:b/>
          <w:spacing w:val="-1"/>
          <w:sz w:val="22"/>
        </w:rPr>
        <w:t>2019</w:t>
      </w:r>
    </w:p>
    <w:p>
      <w:pPr>
        <w:spacing w:before="153"/>
        <w:ind w:left="318" w:right="0" w:firstLine="0"/>
        <w:jc w:val="lef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>nejprodávanějším vozem soukromé klientele.</w:t>
      </w:r>
    </w:p>
    <w:p>
      <w:pPr>
        <w:pStyle w:val="BodyText"/>
        <w:spacing w:before="1"/>
        <w:rPr>
          <w:rFonts w:ascii="Verdana"/>
          <w:b/>
          <w:sz w:val="31"/>
        </w:rPr>
      </w:pPr>
    </w:p>
    <w:p>
      <w:pPr>
        <w:pStyle w:val="ListParagraph"/>
        <w:numPr>
          <w:ilvl w:val="0"/>
          <w:numId w:val="1"/>
        </w:numPr>
        <w:tabs>
          <w:tab w:pos="394" w:val="left" w:leader="none"/>
        </w:tabs>
        <w:spacing w:line="376" w:lineRule="auto" w:before="1" w:after="0"/>
        <w:ind w:left="318" w:right="312" w:hanging="212"/>
        <w:jc w:val="both"/>
        <w:rPr>
          <w:b/>
          <w:sz w:val="22"/>
        </w:rPr>
      </w:pPr>
      <w:r>
        <w:rPr/>
        <w:tab/>
      </w:r>
      <w:r>
        <w:rPr>
          <w:b/>
          <w:sz w:val="22"/>
        </w:rPr>
        <w:t>Tento motor nové generace, který nahrazuje motor SCe 115, dodává řízení víceúčelovost a dynamiku, a může se pochlubit nižší spotřebou</w:t>
      </w:r>
      <w:r>
        <w:rPr>
          <w:b/>
          <w:position w:val="2"/>
          <w:sz w:val="22"/>
        </w:rPr>
        <w:t> paliva a nižšími emisemi</w:t>
      </w:r>
      <w:r>
        <w:rPr>
          <w:b/>
          <w:spacing w:val="-7"/>
          <w:position w:val="2"/>
          <w:sz w:val="22"/>
        </w:rPr>
        <w:t> </w:t>
      </w:r>
      <w:r>
        <w:rPr>
          <w:b/>
          <w:position w:val="2"/>
          <w:sz w:val="22"/>
        </w:rPr>
        <w:t>CO</w:t>
      </w:r>
      <w:r>
        <w:rPr>
          <w:b/>
          <w:sz w:val="14"/>
        </w:rPr>
        <w:t>2</w:t>
      </w:r>
      <w:r>
        <w:rPr>
          <w:b/>
          <w:position w:val="2"/>
          <w:sz w:val="22"/>
        </w:rPr>
        <w:t>.</w:t>
      </w:r>
    </w:p>
    <w:p>
      <w:pPr>
        <w:pStyle w:val="BodyText"/>
        <w:rPr>
          <w:rFonts w:ascii="Verdana"/>
          <w:b/>
          <w:sz w:val="26"/>
        </w:rPr>
      </w:pPr>
    </w:p>
    <w:p>
      <w:pPr>
        <w:pStyle w:val="BodyText"/>
        <w:spacing w:before="10"/>
        <w:rPr>
          <w:rFonts w:ascii="Verdana"/>
          <w:b/>
          <w:sz w:val="29"/>
        </w:rPr>
      </w:pPr>
    </w:p>
    <w:p>
      <w:pPr>
        <w:pStyle w:val="BodyText"/>
        <w:ind w:left="318"/>
        <w:jc w:val="both"/>
      </w:pPr>
      <w:r>
        <w:rPr/>
        <w:t>Dacia Duster dostává nový motor TCe 100, novinku z řady motorů vyvinutých Aliancí. Motor TCe</w:t>
      </w:r>
    </w:p>
    <w:p>
      <w:pPr>
        <w:pStyle w:val="BodyText"/>
        <w:spacing w:line="439" w:lineRule="auto" w:before="190"/>
        <w:ind w:left="318" w:right="311"/>
        <w:jc w:val="both"/>
      </w:pPr>
      <w:r>
        <w:rPr/>
        <w:t>100 vyrobený v rumunském závodě v Pitesti představuje motor nové generace, který přináší významnou úsporu paliva a vyšší výkonnost. Duster s motorem TCe 100 vykazuje o 18 % nižší</w:t>
      </w:r>
      <w:r>
        <w:rPr>
          <w:position w:val="1"/>
        </w:rPr>
        <w:t> emise CO</w:t>
      </w:r>
      <w:r>
        <w:rPr>
          <w:sz w:val="13"/>
        </w:rPr>
        <w:t>2 </w:t>
      </w:r>
      <w:r>
        <w:rPr>
          <w:position w:val="1"/>
        </w:rPr>
        <w:t>a úsporu paliva oproti svému předchůdci SCe 115. Tyto hodnoty ho řadí na špičku své</w:t>
      </w:r>
      <w:r>
        <w:rPr/>
        <w:t> kategorie mezi benzinovými motory. Motor TCe 100, který je ve Francii v prodeji od 30. července 2019, je k dispozici u vozu Duster pro všechny výbavové stupně.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line="376" w:lineRule="auto"/>
        <w:ind w:left="318" w:right="867"/>
      </w:pPr>
      <w:r>
        <w:rPr/>
        <w:t>Duster je stále k dispozici s dieselovým motorem Blue dCi 95 a Blue dCi 115 a s benzinovým motorem TCe 130 a TCe 150.</w:t>
      </w:r>
    </w:p>
    <w:p>
      <w:pPr>
        <w:spacing w:after="0" w:line="376" w:lineRule="auto"/>
        <w:sectPr>
          <w:type w:val="continuous"/>
          <w:pgSz w:w="12240" w:h="15840"/>
          <w:pgMar w:top="1500" w:bottom="280" w:left="1100" w:right="1720"/>
        </w:sectPr>
      </w:pPr>
    </w:p>
    <w:p>
      <w:pPr>
        <w:spacing w:before="69"/>
        <w:ind w:left="318" w:right="0" w:firstLine="0"/>
        <w:jc w:val="both"/>
        <w:rPr>
          <w:b/>
          <w:sz w:val="29"/>
        </w:rPr>
      </w:pPr>
      <w:r>
        <w:rPr>
          <w:b/>
          <w:color w:val="666666"/>
          <w:sz w:val="29"/>
        </w:rPr>
        <w:t>TCe 100: motor nové generace</w:t>
      </w:r>
    </w:p>
    <w:p>
      <w:pPr>
        <w:pStyle w:val="BodyText"/>
        <w:rPr>
          <w:b/>
          <w:sz w:val="31"/>
        </w:rPr>
      </w:pPr>
    </w:p>
    <w:p>
      <w:pPr>
        <w:spacing w:line="376" w:lineRule="auto" w:before="0"/>
        <w:ind w:left="318" w:right="310" w:firstLine="0"/>
        <w:jc w:val="both"/>
        <w:rPr>
          <w:b/>
          <w:sz w:val="20"/>
        </w:rPr>
      </w:pPr>
      <w:r>
        <w:rPr>
          <w:sz w:val="20"/>
        </w:rPr>
        <w:t>Tento benzinový turbomotor s nepřímým vstřikováním (3válcový) s rozvodovým řetězem je lehčí a kompaktnější. Motor TCe obsahuje veškeré nejnovější technologie: turbokompresor řízený elektrickým aktuátorem, výfukové potrubí částečně integrované do hlavy válců, dvojité hydraulické proměnné časování sacích ventilů a specifický ocelový povrch válců tvořených pomocí technologie Bore Spray Coating. </w:t>
      </w:r>
      <w:r>
        <w:rPr>
          <w:b/>
          <w:sz w:val="20"/>
        </w:rPr>
        <w:t>Nižší objem motoru jistě potěší s ohledem na nižší sazbu povinného ručení. Díky přeplňování nabídne vyšší točivý moment a lepší průběh výkonové křivky. Díky nepřímému vstřikování a absenci filtru pevných částic nabídne také ukázkovou  spolehlivost.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6"/>
        <w:rPr>
          <w:b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900430</wp:posOffset>
            </wp:positionH>
            <wp:positionV relativeFrom="paragraph">
              <wp:posOffset>101944</wp:posOffset>
            </wp:positionV>
            <wp:extent cx="5684242" cy="3192018"/>
            <wp:effectExtent l="0" t="0" r="0" b="0"/>
            <wp:wrapTopAndBottom/>
            <wp:docPr id="3" name="image2.jpeg" descr="2019 - Moteur 1.0 TCe 100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242" cy="31920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0"/>
        <w:rPr>
          <w:b/>
        </w:rPr>
      </w:pPr>
    </w:p>
    <w:p>
      <w:pPr>
        <w:spacing w:before="93"/>
        <w:ind w:left="6147" w:right="0" w:firstLine="0"/>
        <w:jc w:val="left"/>
        <w:rPr>
          <w:i/>
          <w:sz w:val="20"/>
        </w:rPr>
      </w:pPr>
      <w:r>
        <w:rPr>
          <w:i/>
          <w:sz w:val="20"/>
        </w:rPr>
        <w:t>Motor TCe 100 ©Pagécran</w:t>
      </w:r>
    </w:p>
    <w:p>
      <w:pPr>
        <w:spacing w:after="0"/>
        <w:jc w:val="left"/>
        <w:rPr>
          <w:sz w:val="20"/>
        </w:rPr>
        <w:sectPr>
          <w:pgSz w:w="12240" w:h="15840"/>
          <w:pgMar w:top="940" w:bottom="280" w:left="1100" w:right="1720"/>
        </w:sectPr>
      </w:pPr>
    </w:p>
    <w:p>
      <w:pPr>
        <w:pStyle w:val="Heading2"/>
        <w:spacing w:before="95"/>
      </w:pPr>
      <w:r>
        <w:rPr>
          <w:color w:val="666666"/>
        </w:rPr>
        <w:t>Duster TCe 100 – vyšší točivý moment pro živější řízení</w:t>
      </w:r>
    </w:p>
    <w:p>
      <w:pPr>
        <w:pStyle w:val="BodyText"/>
        <w:spacing w:before="8"/>
        <w:rPr>
          <w:b/>
          <w:sz w:val="30"/>
        </w:rPr>
      </w:pPr>
    </w:p>
    <w:p>
      <w:pPr>
        <w:pStyle w:val="BodyText"/>
        <w:spacing w:line="376" w:lineRule="auto" w:before="1"/>
        <w:ind w:left="318" w:right="310"/>
        <w:jc w:val="both"/>
      </w:pPr>
      <w:r>
        <w:rPr/>
        <w:t>Motor TCe 100 spojený s 5stupňovou manuální převodovkou nabízí ještě větší všestrannost při řízení ve městě, mimo město i na dálnici.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376" w:lineRule="auto" w:before="1"/>
        <w:ind w:left="318" w:right="309"/>
        <w:jc w:val="both"/>
      </w:pPr>
      <w:r>
        <w:rPr/>
        <w:t>Díky turbodmychadlu dosahuje lepší energetické účinnosti a vyšší pružnosti. Motor TCe 100 má v nejvyužívanějším spektru otáček (1200 – 4000 ot/min) vždy lepší parametry než motor SCe 115. Jeho největší výhodou je  plynulý průběh točivého momentu a jeho maximum  160 Nm  dostupné   v širokém spektru otáček 2750 – 4000 ot /min.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6"/>
        </w:rPr>
      </w:pPr>
    </w:p>
    <w:p>
      <w:pPr>
        <w:pStyle w:val="BodyText"/>
        <w:spacing w:line="376" w:lineRule="auto"/>
        <w:ind w:left="318" w:right="308" w:firstLine="55"/>
        <w:jc w:val="both"/>
      </w:pPr>
      <w:r>
        <w:rPr/>
        <w:t>Další velkou výhodou nového motoru je fakt, že může být k dispozici i ve verzi na LPG. Pohon na LPG je montován přímo ve výrobě a nejedná se tedy o dodatečnou přestavbu vozu. Při vývoji se již počítalo s nabídkou tohoto alternativního pohonu a motor je tak na to náležitě připraven. To zaručuje i fakt, že na verze LPG je poskytována standardní záruka výrobce 3 roky nebo 100 000 km, podle toho, co nastane dříve. Verze LPG navíc dostali ještě o 10 Nm vyšší točivý moment a disponují tak ještě vyšší pružností ve středním pásmu otáček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spacing w:line="183" w:lineRule="exact" w:before="174"/>
        <w:ind w:left="318" w:right="0" w:firstLine="0"/>
        <w:jc w:val="left"/>
        <w:rPr>
          <w:sz w:val="16"/>
        </w:rPr>
      </w:pPr>
      <w:r>
        <w:rPr>
          <w:sz w:val="16"/>
        </w:rPr>
        <w:t>RENAULT</w:t>
      </w:r>
    </w:p>
    <w:p>
      <w:pPr>
        <w:spacing w:line="183" w:lineRule="exact" w:before="0"/>
        <w:ind w:left="318" w:right="0" w:firstLine="0"/>
        <w:jc w:val="left"/>
        <w:rPr>
          <w:sz w:val="16"/>
        </w:rPr>
      </w:pPr>
      <w:r>
        <w:rPr>
          <w:sz w:val="16"/>
        </w:rPr>
        <w:t>Jitka SKALIČKOVÁ</w:t>
      </w:r>
    </w:p>
    <w:p>
      <w:pPr>
        <w:spacing w:before="1"/>
        <w:ind w:left="318" w:right="0" w:firstLine="0"/>
        <w:jc w:val="left"/>
        <w:rPr>
          <w:sz w:val="16"/>
        </w:rPr>
      </w:pPr>
      <w:r>
        <w:rPr>
          <w:sz w:val="16"/>
        </w:rPr>
        <w:t>PR manager a tisková mluvčí</w:t>
      </w:r>
    </w:p>
    <w:p>
      <w:pPr>
        <w:spacing w:line="183" w:lineRule="exact" w:before="1"/>
        <w:ind w:left="318" w:right="0" w:firstLine="0"/>
        <w:jc w:val="left"/>
        <w:rPr>
          <w:sz w:val="16"/>
        </w:rPr>
      </w:pPr>
      <w:r>
        <w:rPr>
          <w:sz w:val="16"/>
        </w:rPr>
        <w:t>+420 222 3390111, +420 602275168</w:t>
      </w:r>
    </w:p>
    <w:p>
      <w:pPr>
        <w:spacing w:line="183" w:lineRule="exact" w:before="0"/>
        <w:ind w:left="318" w:right="0" w:firstLine="0"/>
        <w:jc w:val="left"/>
        <w:rPr>
          <w:sz w:val="16"/>
        </w:rPr>
      </w:pPr>
      <w:hyperlink r:id="rId7">
        <w:r>
          <w:rPr>
            <w:sz w:val="16"/>
          </w:rPr>
          <w:t>jitka.skalickova@renault.cz</w:t>
        </w:r>
      </w:hyperlink>
    </w:p>
    <w:p>
      <w:pPr>
        <w:pStyle w:val="BodyText"/>
        <w:spacing w:before="1"/>
        <w:rPr>
          <w:sz w:val="16"/>
        </w:rPr>
      </w:pPr>
    </w:p>
    <w:p>
      <w:pPr>
        <w:spacing w:before="0"/>
        <w:ind w:left="318" w:right="7140" w:firstLine="0"/>
        <w:jc w:val="left"/>
        <w:rPr>
          <w:sz w:val="16"/>
        </w:rPr>
      </w:pPr>
      <w:hyperlink r:id="rId8">
        <w:r>
          <w:rPr>
            <w:sz w:val="16"/>
          </w:rPr>
          <w:t>www.media.renault.com</w:t>
        </w:r>
      </w:hyperlink>
      <w:r>
        <w:rPr>
          <w:sz w:val="16"/>
        </w:rPr>
        <w:t> </w:t>
      </w:r>
      <w:hyperlink r:id="rId9">
        <w:r>
          <w:rPr>
            <w:sz w:val="16"/>
          </w:rPr>
          <w:t>www.group.renault.com</w:t>
        </w:r>
      </w:hyperlink>
      <w:r>
        <w:rPr>
          <w:sz w:val="16"/>
        </w:rPr>
        <w:t> Twitter :</w:t>
      </w:r>
      <w:r>
        <w:rPr>
          <w:spacing w:val="-8"/>
          <w:sz w:val="16"/>
        </w:rPr>
        <w:t> </w:t>
      </w:r>
      <w:r>
        <w:rPr>
          <w:sz w:val="16"/>
        </w:rPr>
        <w:t>@Groupe_Renault</w:t>
      </w:r>
    </w:p>
    <w:p>
      <w:pPr>
        <w:spacing w:before="1"/>
        <w:ind w:left="318" w:right="6085" w:firstLine="0"/>
        <w:jc w:val="left"/>
        <w:rPr>
          <w:sz w:val="16"/>
        </w:rPr>
      </w:pPr>
      <w:r>
        <w:rPr>
          <w:sz w:val="16"/>
        </w:rPr>
        <w:t>https://</w:t>
      </w:r>
      <w:hyperlink r:id="rId10">
        <w:r>
          <w:rPr>
            <w:sz w:val="16"/>
          </w:rPr>
          <w:t>www.instagram.com/renault_cz/</w:t>
        </w:r>
      </w:hyperlink>
      <w:r>
        <w:rPr>
          <w:sz w:val="16"/>
        </w:rPr>
        <w:t> https://</w:t>
      </w:r>
      <w:hyperlink r:id="rId11">
        <w:r>
          <w:rPr>
            <w:sz w:val="16"/>
          </w:rPr>
          <w:t>www.facebook.com/renault.cz/</w:t>
        </w:r>
      </w:hyperlink>
      <w:r>
        <w:rPr>
          <w:sz w:val="16"/>
        </w:rPr>
        <w:t> https://</w:t>
      </w:r>
      <w:hyperlink r:id="rId12">
        <w:r>
          <w:rPr>
            <w:sz w:val="16"/>
          </w:rPr>
          <w:t>www.youtube.com/user/renaultCZE</w:t>
        </w:r>
      </w:hyperlink>
    </w:p>
    <w:sectPr>
      <w:pgSz w:w="12240" w:h="15840"/>
      <w:pgMar w:top="1500" w:bottom="280" w:left="11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Verdana-BoldItalic">
    <w:altName w:val="Verdana-BoldItalic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318" w:hanging="294"/>
      </w:pPr>
      <w:rPr>
        <w:rFonts w:hint="default" w:ascii="Arial" w:hAnsi="Arial" w:eastAsia="Arial" w:cs="Arial"/>
        <w:w w:val="131"/>
        <w:sz w:val="22"/>
        <w:szCs w:val="22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040" w:hanging="294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1971" w:hanging="294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2902" w:hanging="294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833" w:hanging="294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764" w:hanging="294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695" w:hanging="294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626" w:hanging="294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557" w:hanging="294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913" w:right="910"/>
      <w:jc w:val="center"/>
      <w:outlineLvl w:val="1"/>
    </w:pPr>
    <w:rPr>
      <w:rFonts w:ascii="Arial" w:hAnsi="Arial" w:eastAsia="Arial" w:cs="Arial"/>
      <w:b/>
      <w:bCs/>
      <w:sz w:val="44"/>
      <w:szCs w:val="44"/>
      <w:lang w:val="cs-CZ" w:eastAsia="cs-CZ" w:bidi="cs-CZ"/>
    </w:rPr>
  </w:style>
  <w:style w:styleId="Heading2" w:type="paragraph">
    <w:name w:val="Heading 2"/>
    <w:basedOn w:val="Normal"/>
    <w:uiPriority w:val="1"/>
    <w:qFormat/>
    <w:pPr>
      <w:spacing w:before="69"/>
      <w:ind w:left="318"/>
      <w:jc w:val="both"/>
      <w:outlineLvl w:val="2"/>
    </w:pPr>
    <w:rPr>
      <w:rFonts w:ascii="Arial" w:hAnsi="Arial" w:eastAsia="Arial" w:cs="Arial"/>
      <w:b/>
      <w:bCs/>
      <w:sz w:val="29"/>
      <w:szCs w:val="29"/>
      <w:lang w:val="cs-CZ" w:eastAsia="cs-CZ" w:bidi="cs-CZ"/>
    </w:rPr>
  </w:style>
  <w:style w:styleId="Heading3" w:type="paragraph">
    <w:name w:val="Heading 3"/>
    <w:basedOn w:val="Normal"/>
    <w:uiPriority w:val="1"/>
    <w:qFormat/>
    <w:pPr>
      <w:ind w:left="318"/>
      <w:jc w:val="right"/>
      <w:outlineLvl w:val="3"/>
    </w:pPr>
    <w:rPr>
      <w:rFonts w:ascii="Verdana" w:hAnsi="Verdana" w:eastAsia="Verdana" w:cs="Verdana"/>
      <w:b/>
      <w:bCs/>
      <w:sz w:val="22"/>
      <w:szCs w:val="22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318" w:right="308" w:hanging="401"/>
      <w:jc w:val="right"/>
    </w:pPr>
    <w:rPr>
      <w:rFonts w:ascii="Verdana" w:hAnsi="Verdana" w:eastAsia="Verdana" w:cs="Verdana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jitka.skalickova@renault.cz" TargetMode="External"/><Relationship Id="rId8" Type="http://schemas.openxmlformats.org/officeDocument/2006/relationships/hyperlink" Target="http://www.media.renault.com/" TargetMode="External"/><Relationship Id="rId9" Type="http://schemas.openxmlformats.org/officeDocument/2006/relationships/hyperlink" Target="http://www.group.renault.com/" TargetMode="External"/><Relationship Id="rId10" Type="http://schemas.openxmlformats.org/officeDocument/2006/relationships/hyperlink" Target="http://www.instagram.com/renault_cz/" TargetMode="External"/><Relationship Id="rId11" Type="http://schemas.openxmlformats.org/officeDocument/2006/relationships/hyperlink" Target="http://www.facebook.com/renault.cz/" TargetMode="External"/><Relationship Id="rId12" Type="http://schemas.openxmlformats.org/officeDocument/2006/relationships/hyperlink" Target="http://www.youtube.com/user/renaultCZE" TargetMode="Externa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Kýtová</dc:creator>
  <dc:title>media.renault - DACIA DUSTER, NOUVEAU MOTEUR ESSENCE TCE 100</dc:title>
  <dcterms:created xsi:type="dcterms:W3CDTF">2020-04-02T12:21:18Z</dcterms:created>
  <dcterms:modified xsi:type="dcterms:W3CDTF">2020-04-02T12:21:18Z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Creator">
    <vt:lpwstr>Microsoft® Word pro Office 365</vt:lpwstr>
  </property>
  <property fmtid="{D5CDD505-2E9C-101B-9397-08002B2CF9AE}" pid="4" name="LastSaved">
    <vt:filetime>2020-04-02T00:00:00Z</vt:filetime>
  </property>
</Properties>
</file>